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3A8CF" w14:textId="2F40A769" w:rsidR="003E1D6B" w:rsidRDefault="003F290B" w:rsidP="006000C2">
      <w:pPr>
        <w:autoSpaceDE w:val="0"/>
        <w:autoSpaceDN w:val="0"/>
        <w:adjustRightInd w:val="0"/>
        <w:spacing w:before="120" w:after="0"/>
        <w:jc w:val="center"/>
        <w:rPr>
          <w:rFonts w:ascii="Garamond" w:hAnsi="Garamond"/>
          <w:b/>
          <w:color w:val="000000"/>
          <w:sz w:val="32"/>
          <w:szCs w:val="32"/>
        </w:rPr>
      </w:pPr>
      <w:r w:rsidRPr="000612A6">
        <w:rPr>
          <w:rFonts w:ascii="Garamond" w:hAnsi="Garamond"/>
          <w:b/>
          <w:color w:val="000000"/>
          <w:sz w:val="32"/>
          <w:szCs w:val="32"/>
        </w:rPr>
        <w:t xml:space="preserve">Irreparable Injury and the </w:t>
      </w:r>
      <w:r w:rsidR="000612A6" w:rsidRPr="000612A6">
        <w:rPr>
          <w:rFonts w:ascii="Garamond" w:hAnsi="Garamond"/>
          <w:b/>
          <w:color w:val="000000"/>
          <w:sz w:val="32"/>
          <w:szCs w:val="32"/>
        </w:rPr>
        <w:t xml:space="preserve">Limits of </w:t>
      </w:r>
      <w:r w:rsidR="000612A6">
        <w:rPr>
          <w:rFonts w:ascii="Garamond" w:hAnsi="Garamond"/>
          <w:b/>
          <w:color w:val="000000"/>
          <w:sz w:val="32"/>
          <w:szCs w:val="32"/>
        </w:rPr>
        <w:t xml:space="preserve">the Law of </w:t>
      </w:r>
      <w:r w:rsidRPr="000612A6">
        <w:rPr>
          <w:rFonts w:ascii="Garamond" w:hAnsi="Garamond"/>
          <w:b/>
          <w:color w:val="000000"/>
          <w:sz w:val="32"/>
          <w:szCs w:val="32"/>
        </w:rPr>
        <w:t>Tort</w:t>
      </w:r>
      <w:r w:rsidR="000612A6">
        <w:rPr>
          <w:rFonts w:ascii="Garamond" w:hAnsi="Garamond"/>
          <w:b/>
          <w:color w:val="000000"/>
          <w:sz w:val="32"/>
          <w:szCs w:val="32"/>
        </w:rPr>
        <w:t>s</w:t>
      </w:r>
    </w:p>
    <w:p w14:paraId="6214E512" w14:textId="5E63288E" w:rsidR="000612A6" w:rsidRPr="000612A6" w:rsidRDefault="000612A6" w:rsidP="006000C2">
      <w:pPr>
        <w:autoSpaceDE w:val="0"/>
        <w:autoSpaceDN w:val="0"/>
        <w:adjustRightInd w:val="0"/>
        <w:spacing w:before="120" w:after="0"/>
        <w:jc w:val="center"/>
        <w:rPr>
          <w:rFonts w:ascii="Garamond" w:hAnsi="Garamond"/>
          <w:bCs/>
          <w:color w:val="000000"/>
          <w:sz w:val="28"/>
          <w:szCs w:val="28"/>
        </w:rPr>
      </w:pPr>
      <w:r w:rsidRPr="000612A6">
        <w:rPr>
          <w:rFonts w:ascii="Garamond" w:hAnsi="Garamond"/>
          <w:bCs/>
          <w:color w:val="000000"/>
          <w:sz w:val="28"/>
          <w:szCs w:val="28"/>
        </w:rPr>
        <w:t>Gregory C. Keating</w:t>
      </w:r>
      <w:r>
        <w:rPr>
          <w:rStyle w:val="FootnoteReference"/>
          <w:rFonts w:ascii="Garamond" w:hAnsi="Garamond"/>
          <w:bCs/>
          <w:color w:val="000000"/>
          <w:sz w:val="28"/>
          <w:szCs w:val="28"/>
        </w:rPr>
        <w:footnoteReference w:id="2"/>
      </w:r>
    </w:p>
    <w:p w14:paraId="4DD0441B" w14:textId="18B4ADE8" w:rsidR="008D6ED5" w:rsidRDefault="005B0EC1" w:rsidP="00D95784">
      <w:pPr>
        <w:spacing w:before="240"/>
        <w:jc w:val="both"/>
        <w:rPr>
          <w:rFonts w:asciiTheme="minorHAnsi" w:hAnsiTheme="minorHAnsi"/>
        </w:rPr>
      </w:pPr>
      <w:r>
        <w:rPr>
          <w:rFonts w:asciiTheme="minorHAnsi" w:hAnsiTheme="minorHAnsi"/>
        </w:rPr>
        <w:t>T</w:t>
      </w:r>
      <w:r w:rsidR="00444691">
        <w:rPr>
          <w:rFonts w:asciiTheme="minorHAnsi" w:hAnsiTheme="minorHAnsi"/>
        </w:rPr>
        <w:t xml:space="preserve">heoretically inclined scholarship on the law of torts is divided between two camps. One camp </w:t>
      </w:r>
      <w:r w:rsidR="00F338C2">
        <w:rPr>
          <w:rFonts w:asciiTheme="minorHAnsi" w:hAnsiTheme="minorHAnsi"/>
        </w:rPr>
        <w:t xml:space="preserve">assigns explanatory primacy to </w:t>
      </w:r>
      <w:r w:rsidR="00D95784">
        <w:rPr>
          <w:rFonts w:asciiTheme="minorHAnsi" w:hAnsiTheme="minorHAnsi"/>
        </w:rPr>
        <w:t xml:space="preserve">tort law’s secondary norms—to </w:t>
      </w:r>
      <w:r w:rsidR="004D14A8">
        <w:rPr>
          <w:rFonts w:asciiTheme="minorHAnsi" w:hAnsiTheme="minorHAnsi"/>
        </w:rPr>
        <w:t xml:space="preserve">remedial obligations </w:t>
      </w:r>
      <w:r w:rsidR="00F338C2">
        <w:rPr>
          <w:rFonts w:asciiTheme="minorHAnsi" w:hAnsiTheme="minorHAnsi"/>
        </w:rPr>
        <w:t>of corrective justice or to powers of</w:t>
      </w:r>
      <w:r w:rsidR="00444691">
        <w:rPr>
          <w:rFonts w:asciiTheme="minorHAnsi" w:hAnsiTheme="minorHAnsi"/>
        </w:rPr>
        <w:t xml:space="preserve"> civil recourse</w:t>
      </w:r>
      <w:r w:rsidR="00D95784">
        <w:rPr>
          <w:rFonts w:asciiTheme="minorHAnsi" w:hAnsiTheme="minorHAnsi"/>
        </w:rPr>
        <w:t>.</w:t>
      </w:r>
      <w:r w:rsidR="00444691">
        <w:rPr>
          <w:rFonts w:asciiTheme="minorHAnsi" w:hAnsiTheme="minorHAnsi"/>
        </w:rPr>
        <w:t xml:space="preserve"> </w:t>
      </w:r>
      <w:r w:rsidR="00245446" w:rsidRPr="00245446">
        <w:rPr>
          <w:rFonts w:asciiTheme="minorHAnsi" w:hAnsiTheme="minorHAnsi"/>
        </w:rPr>
        <w:t>For corrective justice and civil recourse theorists</w:t>
      </w:r>
      <w:r w:rsidR="00245446">
        <w:rPr>
          <w:rFonts w:asciiTheme="minorHAnsi" w:hAnsiTheme="minorHAnsi"/>
        </w:rPr>
        <w:t>,</w:t>
      </w:r>
      <w:r w:rsidR="00245446" w:rsidRPr="00245446">
        <w:rPr>
          <w:rFonts w:asciiTheme="minorHAnsi" w:hAnsiTheme="minorHAnsi"/>
        </w:rPr>
        <w:t xml:space="preserve"> tort law</w:t>
      </w:r>
      <w:r w:rsidR="00245446">
        <w:rPr>
          <w:rFonts w:asciiTheme="minorHAnsi" w:hAnsiTheme="minorHAnsi"/>
        </w:rPr>
        <w:t>’s obligations of repair or powers of recourse</w:t>
      </w:r>
      <w:r w:rsidR="00245446" w:rsidRPr="00245446">
        <w:rPr>
          <w:rFonts w:asciiTheme="minorHAnsi" w:hAnsiTheme="minorHAnsi"/>
        </w:rPr>
        <w:t xml:space="preserve"> are constitutive of a distinctive morality of responsibility. </w:t>
      </w:r>
      <w:r w:rsidR="00444691">
        <w:rPr>
          <w:rFonts w:asciiTheme="minorHAnsi" w:hAnsiTheme="minorHAnsi"/>
        </w:rPr>
        <w:t xml:space="preserve">The other </w:t>
      </w:r>
      <w:r w:rsidR="00245446">
        <w:rPr>
          <w:rFonts w:asciiTheme="minorHAnsi" w:hAnsiTheme="minorHAnsi"/>
        </w:rPr>
        <w:t xml:space="preserve">camp </w:t>
      </w:r>
      <w:r w:rsidR="00444691">
        <w:rPr>
          <w:rFonts w:asciiTheme="minorHAnsi" w:hAnsiTheme="minorHAnsi"/>
        </w:rPr>
        <w:t>sees tort law as a</w:t>
      </w:r>
      <w:r w:rsidR="004D14A8">
        <w:rPr>
          <w:rFonts w:asciiTheme="minorHAnsi" w:hAnsiTheme="minorHAnsi"/>
        </w:rPr>
        <w:t xml:space="preserve"> </w:t>
      </w:r>
      <w:r w:rsidR="00444691">
        <w:rPr>
          <w:rFonts w:asciiTheme="minorHAnsi" w:hAnsiTheme="minorHAnsi"/>
        </w:rPr>
        <w:t xml:space="preserve">site for the application of </w:t>
      </w:r>
      <w:r w:rsidR="00245446">
        <w:rPr>
          <w:rFonts w:asciiTheme="minorHAnsi" w:hAnsiTheme="minorHAnsi"/>
        </w:rPr>
        <w:t xml:space="preserve">a comprehensive consequentialist analysis in </w:t>
      </w:r>
      <w:r w:rsidR="00444691">
        <w:rPr>
          <w:rFonts w:asciiTheme="minorHAnsi" w:hAnsiTheme="minorHAnsi"/>
        </w:rPr>
        <w:t>economic</w:t>
      </w:r>
      <w:r w:rsidR="00245446">
        <w:rPr>
          <w:rFonts w:asciiTheme="minorHAnsi" w:hAnsiTheme="minorHAnsi"/>
        </w:rPr>
        <w:t xml:space="preserve"> form.</w:t>
      </w:r>
      <w:r w:rsidR="00444691">
        <w:rPr>
          <w:rFonts w:asciiTheme="minorHAnsi" w:hAnsiTheme="minorHAnsi"/>
        </w:rPr>
        <w:t xml:space="preserve"> </w:t>
      </w:r>
      <w:r w:rsidR="004D14A8">
        <w:rPr>
          <w:rFonts w:asciiTheme="minorHAnsi" w:hAnsiTheme="minorHAnsi"/>
        </w:rPr>
        <w:t xml:space="preserve">Economic analysts deploy a framework in which </w:t>
      </w:r>
      <w:r w:rsidR="00D95784">
        <w:rPr>
          <w:rFonts w:asciiTheme="minorHAnsi" w:hAnsiTheme="minorHAnsi"/>
        </w:rPr>
        <w:t xml:space="preserve">the private law of torts and alternatives to it </w:t>
      </w:r>
      <w:r w:rsidR="004D14A8">
        <w:rPr>
          <w:rFonts w:asciiTheme="minorHAnsi" w:hAnsiTheme="minorHAnsi"/>
        </w:rPr>
        <w:t xml:space="preserve">are </w:t>
      </w:r>
      <w:r w:rsidR="00D95784">
        <w:rPr>
          <w:rFonts w:asciiTheme="minorHAnsi" w:hAnsiTheme="minorHAnsi"/>
        </w:rPr>
        <w:t xml:space="preserve">treated </w:t>
      </w:r>
      <w:r w:rsidR="004D14A8">
        <w:rPr>
          <w:rFonts w:asciiTheme="minorHAnsi" w:hAnsiTheme="minorHAnsi"/>
        </w:rPr>
        <w:t>simply as different means to the same end</w:t>
      </w:r>
      <w:r w:rsidR="00245446">
        <w:rPr>
          <w:rFonts w:asciiTheme="minorHAnsi" w:hAnsiTheme="minorHAnsi"/>
        </w:rPr>
        <w:t xml:space="preserve"> of cost-justified accident reduction</w:t>
      </w:r>
      <w:r w:rsidR="004D14A8">
        <w:rPr>
          <w:rFonts w:asciiTheme="minorHAnsi" w:hAnsiTheme="minorHAnsi"/>
        </w:rPr>
        <w:t xml:space="preserve">. The thesis of this paper is that tort law is intrinsically </w:t>
      </w:r>
      <w:r w:rsidR="002D5108">
        <w:rPr>
          <w:rFonts w:asciiTheme="minorHAnsi" w:hAnsiTheme="minorHAnsi"/>
        </w:rPr>
        <w:t>incomplete,</w:t>
      </w:r>
      <w:r w:rsidR="00D95784">
        <w:rPr>
          <w:rFonts w:asciiTheme="minorHAnsi" w:hAnsiTheme="minorHAnsi"/>
        </w:rPr>
        <w:t xml:space="preserve"> and that direct regulation of risk </w:t>
      </w:r>
      <w:r w:rsidR="00FE7CC8">
        <w:rPr>
          <w:rFonts w:asciiTheme="minorHAnsi" w:hAnsiTheme="minorHAnsi"/>
        </w:rPr>
        <w:t xml:space="preserve">is required to </w:t>
      </w:r>
      <w:r w:rsidR="00D95784">
        <w:rPr>
          <w:rFonts w:asciiTheme="minorHAnsi" w:hAnsiTheme="minorHAnsi"/>
        </w:rPr>
        <w:t xml:space="preserve">repair its incompleteness. </w:t>
      </w:r>
      <w:r w:rsidR="00245446">
        <w:rPr>
          <w:rFonts w:asciiTheme="minorHAnsi" w:hAnsiTheme="minorHAnsi"/>
        </w:rPr>
        <w:t xml:space="preserve">The law of torts is </w:t>
      </w:r>
      <w:r w:rsidR="00FE7CC8">
        <w:rPr>
          <w:rFonts w:asciiTheme="minorHAnsi" w:hAnsiTheme="minorHAnsi"/>
        </w:rPr>
        <w:t xml:space="preserve">intrinsically </w:t>
      </w:r>
      <w:r w:rsidR="00245446">
        <w:rPr>
          <w:rFonts w:asciiTheme="minorHAnsi" w:hAnsiTheme="minorHAnsi"/>
        </w:rPr>
        <w:t>incomplete because</w:t>
      </w:r>
      <w:r w:rsidR="00FE7CC8">
        <w:rPr>
          <w:rFonts w:asciiTheme="minorHAnsi" w:hAnsiTheme="minorHAnsi"/>
        </w:rPr>
        <w:t xml:space="preserve"> tort is a system of reparation. Wrongs that inflict </w:t>
      </w:r>
      <w:r w:rsidR="004D14A8">
        <w:rPr>
          <w:rFonts w:asciiTheme="minorHAnsi" w:hAnsiTheme="minorHAnsi"/>
        </w:rPr>
        <w:t xml:space="preserve">irreparable injury </w:t>
      </w:r>
      <w:r w:rsidR="00FE7CC8">
        <w:rPr>
          <w:rFonts w:asciiTheme="minorHAnsi" w:hAnsiTheme="minorHAnsi"/>
        </w:rPr>
        <w:t xml:space="preserve">are beyond its reach. </w:t>
      </w:r>
      <w:r w:rsidR="00D95784">
        <w:rPr>
          <w:rFonts w:asciiTheme="minorHAnsi" w:hAnsiTheme="minorHAnsi"/>
        </w:rPr>
        <w:t>Wrongly killing someone</w:t>
      </w:r>
      <w:r w:rsidR="00FE7CC8">
        <w:rPr>
          <w:rFonts w:asciiTheme="minorHAnsi" w:hAnsiTheme="minorHAnsi"/>
        </w:rPr>
        <w:t xml:space="preserve"> diminishes reparative responsibility because death is an injury beyond repair.</w:t>
      </w:r>
      <w:r w:rsidR="00D95784">
        <w:rPr>
          <w:rFonts w:asciiTheme="minorHAnsi" w:hAnsiTheme="minorHAnsi"/>
        </w:rPr>
        <w:t xml:space="preserve"> </w:t>
      </w:r>
      <w:r w:rsidR="00FE7CC8">
        <w:rPr>
          <w:rFonts w:asciiTheme="minorHAnsi" w:hAnsiTheme="minorHAnsi"/>
        </w:rPr>
        <w:t xml:space="preserve">From an economic perspective, the problem is </w:t>
      </w:r>
      <w:r w:rsidR="00654256">
        <w:rPr>
          <w:rFonts w:asciiTheme="minorHAnsi" w:hAnsiTheme="minorHAnsi"/>
        </w:rPr>
        <w:t xml:space="preserve">that tort law </w:t>
      </w:r>
      <w:r w:rsidR="00FE7CC8">
        <w:rPr>
          <w:rFonts w:asciiTheme="minorHAnsi" w:hAnsiTheme="minorHAnsi"/>
        </w:rPr>
        <w:t>does not even attempt to p</w:t>
      </w:r>
      <w:r w:rsidR="00654256">
        <w:rPr>
          <w:rFonts w:asciiTheme="minorHAnsi" w:hAnsiTheme="minorHAnsi"/>
        </w:rPr>
        <w:t>ut a p</w:t>
      </w:r>
      <w:r w:rsidR="00FE7CC8">
        <w:rPr>
          <w:rFonts w:asciiTheme="minorHAnsi" w:hAnsiTheme="minorHAnsi"/>
        </w:rPr>
        <w:t xml:space="preserve">rice </w:t>
      </w:r>
      <w:r w:rsidR="00654256">
        <w:rPr>
          <w:rFonts w:asciiTheme="minorHAnsi" w:hAnsiTheme="minorHAnsi"/>
        </w:rPr>
        <w:t xml:space="preserve">on </w:t>
      </w:r>
      <w:r w:rsidR="00FE7CC8">
        <w:rPr>
          <w:rFonts w:asciiTheme="minorHAnsi" w:hAnsiTheme="minorHAnsi"/>
        </w:rPr>
        <w:t>the value to the victim of the life that they have lost</w:t>
      </w:r>
      <w:r w:rsidR="00EB4713">
        <w:rPr>
          <w:rFonts w:asciiTheme="minorHAnsi" w:hAnsiTheme="minorHAnsi"/>
        </w:rPr>
        <w:t>, thereby impairing tort law’s powers of deterrence.</w:t>
      </w:r>
      <w:r w:rsidR="00654256">
        <w:rPr>
          <w:rFonts w:asciiTheme="minorHAnsi" w:hAnsiTheme="minorHAnsi"/>
        </w:rPr>
        <w:t xml:space="preserve"> </w:t>
      </w:r>
      <w:r w:rsidR="00FE7CC8">
        <w:rPr>
          <w:rFonts w:asciiTheme="minorHAnsi" w:hAnsiTheme="minorHAnsi"/>
        </w:rPr>
        <w:t xml:space="preserve">Direct </w:t>
      </w:r>
      <w:r w:rsidR="004D14A8">
        <w:rPr>
          <w:rFonts w:asciiTheme="minorHAnsi" w:hAnsiTheme="minorHAnsi"/>
        </w:rPr>
        <w:t>regulation of risk</w:t>
      </w:r>
      <w:r w:rsidR="00FE7CC8">
        <w:rPr>
          <w:rFonts w:asciiTheme="minorHAnsi" w:hAnsiTheme="minorHAnsi"/>
        </w:rPr>
        <w:t xml:space="preserve"> </w:t>
      </w:r>
      <w:r w:rsidR="00EB4713">
        <w:rPr>
          <w:rFonts w:asciiTheme="minorHAnsi" w:hAnsiTheme="minorHAnsi"/>
        </w:rPr>
        <w:t xml:space="preserve">remedies </w:t>
      </w:r>
      <w:r w:rsidR="00FE7CC8">
        <w:rPr>
          <w:rFonts w:asciiTheme="minorHAnsi" w:hAnsiTheme="minorHAnsi"/>
        </w:rPr>
        <w:t xml:space="preserve">this imperfection of the private law of torts. </w:t>
      </w:r>
      <w:r w:rsidR="00654256">
        <w:rPr>
          <w:rFonts w:asciiTheme="minorHAnsi" w:hAnsiTheme="minorHAnsi"/>
        </w:rPr>
        <w:t>Tort’s own incompleteness therefore directs our attention to p</w:t>
      </w:r>
      <w:r w:rsidR="004D14A8">
        <w:rPr>
          <w:rFonts w:asciiTheme="minorHAnsi" w:hAnsiTheme="minorHAnsi"/>
        </w:rPr>
        <w:t>rominent norms of federal risk regulation</w:t>
      </w:r>
      <w:r w:rsidR="00654256">
        <w:rPr>
          <w:rFonts w:asciiTheme="minorHAnsi" w:hAnsiTheme="minorHAnsi"/>
        </w:rPr>
        <w:t xml:space="preserve"> that </w:t>
      </w:r>
      <w:r w:rsidR="00EB4713">
        <w:rPr>
          <w:rFonts w:asciiTheme="minorHAnsi" w:hAnsiTheme="minorHAnsi"/>
        </w:rPr>
        <w:t xml:space="preserve">address risks of </w:t>
      </w:r>
      <w:r w:rsidR="008D6ED5">
        <w:rPr>
          <w:rFonts w:asciiTheme="minorHAnsi" w:hAnsiTheme="minorHAnsi"/>
        </w:rPr>
        <w:t>irreparable injury by insisting on more than cost-justified precaution</w:t>
      </w:r>
      <w:r w:rsidR="00EB4713">
        <w:rPr>
          <w:rFonts w:asciiTheme="minorHAnsi" w:hAnsiTheme="minorHAnsi"/>
        </w:rPr>
        <w:t xml:space="preserve">. Of course, by enjoining more than efficient precautions these norms flout </w:t>
      </w:r>
      <w:r w:rsidR="008D6ED5">
        <w:rPr>
          <w:rFonts w:asciiTheme="minorHAnsi" w:hAnsiTheme="minorHAnsi"/>
        </w:rPr>
        <w:t>the prescriptions of economic analysis. This paper will endeavor to explain tort law’s shortcomings when it comes to the imposition of risks of irreparable injury</w:t>
      </w:r>
      <w:r w:rsidR="00EB1FD9">
        <w:rPr>
          <w:rFonts w:asciiTheme="minorHAnsi" w:hAnsiTheme="minorHAnsi"/>
        </w:rPr>
        <w:t xml:space="preserve">; </w:t>
      </w:r>
      <w:r w:rsidR="008D6ED5">
        <w:rPr>
          <w:rFonts w:asciiTheme="minorHAnsi" w:hAnsiTheme="minorHAnsi"/>
        </w:rPr>
        <w:t>to explain the safety and feasibility standards</w:t>
      </w:r>
      <w:r w:rsidR="006B5026">
        <w:rPr>
          <w:rFonts w:asciiTheme="minorHAnsi" w:hAnsiTheme="minorHAnsi"/>
        </w:rPr>
        <w:t xml:space="preserve"> prominent in federal regimes for the regulation of environmental and occupational risks</w:t>
      </w:r>
      <w:r w:rsidR="00EB1FD9">
        <w:rPr>
          <w:rFonts w:asciiTheme="minorHAnsi" w:hAnsiTheme="minorHAnsi"/>
        </w:rPr>
        <w:t>; and to suggest that these standards point to a morality of risk regulation quite different from the morality of efficient precaution embraced by law and economics.</w:t>
      </w:r>
    </w:p>
    <w:p w14:paraId="74AE5951" w14:textId="59BC4F33" w:rsidR="00F01B81" w:rsidRDefault="008D6ED5" w:rsidP="006000C2">
      <w:pPr>
        <w:spacing w:before="240"/>
        <w:jc w:val="both"/>
        <w:rPr>
          <w:rFonts w:asciiTheme="minorHAnsi" w:hAnsiTheme="minorHAnsi"/>
        </w:rPr>
      </w:pPr>
      <w:r>
        <w:rPr>
          <w:rFonts w:asciiTheme="minorHAnsi" w:hAnsiTheme="minorHAnsi"/>
        </w:rPr>
        <w:t>Corrective justice t</w:t>
      </w:r>
      <w:r w:rsidR="00C16FC1">
        <w:rPr>
          <w:rFonts w:asciiTheme="minorHAnsi" w:hAnsiTheme="minorHAnsi"/>
        </w:rPr>
        <w:t>heor</w:t>
      </w:r>
      <w:r w:rsidR="00EB1FD9">
        <w:rPr>
          <w:rFonts w:asciiTheme="minorHAnsi" w:hAnsiTheme="minorHAnsi"/>
        </w:rPr>
        <w:t xml:space="preserve">y </w:t>
      </w:r>
      <w:r w:rsidR="00F338C2">
        <w:rPr>
          <w:rFonts w:asciiTheme="minorHAnsi" w:hAnsiTheme="minorHAnsi"/>
        </w:rPr>
        <w:t xml:space="preserve">sometimes goes astray </w:t>
      </w:r>
      <w:r w:rsidR="00C16FC1">
        <w:rPr>
          <w:rFonts w:asciiTheme="minorHAnsi" w:hAnsiTheme="minorHAnsi"/>
        </w:rPr>
        <w:t>by reversing the relation between tort law’s primary norms and its secondary ones.</w:t>
      </w:r>
      <w:r w:rsidR="00BE717C" w:rsidRPr="00BE717C">
        <w:rPr>
          <w:rStyle w:val="FootnoteReference"/>
          <w:rFonts w:asciiTheme="minorHAnsi" w:hAnsiTheme="minorHAnsi"/>
        </w:rPr>
        <w:t xml:space="preserve"> </w:t>
      </w:r>
      <w:r w:rsidR="00BE717C">
        <w:rPr>
          <w:rStyle w:val="FootnoteReference"/>
          <w:rFonts w:asciiTheme="minorHAnsi" w:hAnsiTheme="minorHAnsi"/>
        </w:rPr>
        <w:footnoteReference w:id="3"/>
      </w:r>
      <w:r w:rsidR="00C16FC1">
        <w:rPr>
          <w:rFonts w:asciiTheme="minorHAnsi" w:hAnsiTheme="minorHAnsi"/>
        </w:rPr>
        <w:t xml:space="preserve"> Tort law’s primary norms obligat</w:t>
      </w:r>
      <w:r>
        <w:rPr>
          <w:rFonts w:asciiTheme="minorHAnsi" w:hAnsiTheme="minorHAnsi"/>
        </w:rPr>
        <w:t xml:space="preserve">e </w:t>
      </w:r>
      <w:r w:rsidR="00C16FC1">
        <w:rPr>
          <w:rFonts w:asciiTheme="minorHAnsi" w:hAnsiTheme="minorHAnsi"/>
        </w:rPr>
        <w:t>us not to impair or interfere with diverse urgent interests that we share</w:t>
      </w:r>
      <w:r>
        <w:rPr>
          <w:rFonts w:asciiTheme="minorHAnsi" w:hAnsiTheme="minorHAnsi"/>
        </w:rPr>
        <w:t>. The</w:t>
      </w:r>
      <w:r w:rsidR="00EB1FD9">
        <w:rPr>
          <w:rFonts w:asciiTheme="minorHAnsi" w:hAnsiTheme="minorHAnsi"/>
        </w:rPr>
        <w:t>se</w:t>
      </w:r>
      <w:r w:rsidR="00DC4495">
        <w:rPr>
          <w:rFonts w:asciiTheme="minorHAnsi" w:hAnsiTheme="minorHAnsi"/>
        </w:rPr>
        <w:t xml:space="preserve"> primary</w:t>
      </w:r>
      <w:r>
        <w:rPr>
          <w:rFonts w:asciiTheme="minorHAnsi" w:hAnsiTheme="minorHAnsi"/>
        </w:rPr>
        <w:t xml:space="preserve"> obligations </w:t>
      </w:r>
      <w:r w:rsidR="00DC4495">
        <w:rPr>
          <w:rFonts w:asciiTheme="minorHAnsi" w:hAnsiTheme="minorHAnsi"/>
        </w:rPr>
        <w:t xml:space="preserve">of non-interference </w:t>
      </w:r>
      <w:r w:rsidR="00C16FC1">
        <w:rPr>
          <w:rFonts w:asciiTheme="minorHAnsi" w:hAnsiTheme="minorHAnsi"/>
        </w:rPr>
        <w:t xml:space="preserve">are logically and normatively antecedent to </w:t>
      </w:r>
      <w:r>
        <w:rPr>
          <w:rFonts w:asciiTheme="minorHAnsi" w:hAnsiTheme="minorHAnsi"/>
        </w:rPr>
        <w:t xml:space="preserve">tort law’s </w:t>
      </w:r>
      <w:r w:rsidR="00BE717C">
        <w:rPr>
          <w:rFonts w:asciiTheme="minorHAnsi" w:hAnsiTheme="minorHAnsi"/>
        </w:rPr>
        <w:t xml:space="preserve">secondary </w:t>
      </w:r>
      <w:r w:rsidR="00EB1FD9">
        <w:rPr>
          <w:rFonts w:asciiTheme="minorHAnsi" w:hAnsiTheme="minorHAnsi"/>
        </w:rPr>
        <w:t xml:space="preserve">powers of recourse and </w:t>
      </w:r>
      <w:r w:rsidR="00C16FC1">
        <w:rPr>
          <w:rFonts w:asciiTheme="minorHAnsi" w:hAnsiTheme="minorHAnsi"/>
        </w:rPr>
        <w:t xml:space="preserve">obligations of repair. </w:t>
      </w:r>
      <w:r w:rsidR="00BE717C">
        <w:rPr>
          <w:rFonts w:asciiTheme="minorHAnsi" w:hAnsiTheme="minorHAnsi"/>
        </w:rPr>
        <w:t xml:space="preserve">Secondary powers and obligations </w:t>
      </w:r>
      <w:r>
        <w:rPr>
          <w:rFonts w:asciiTheme="minorHAnsi" w:hAnsiTheme="minorHAnsi"/>
        </w:rPr>
        <w:t xml:space="preserve">come into play only when primary obligations </w:t>
      </w:r>
      <w:r w:rsidR="00DC4495">
        <w:rPr>
          <w:rFonts w:asciiTheme="minorHAnsi" w:hAnsiTheme="minorHAnsi"/>
        </w:rPr>
        <w:t>have not had their intended effect.</w:t>
      </w:r>
      <w:r w:rsidR="00DC4495">
        <w:rPr>
          <w:rStyle w:val="FootnoteReference"/>
          <w:rFonts w:asciiTheme="minorHAnsi" w:hAnsiTheme="minorHAnsi"/>
        </w:rPr>
        <w:footnoteReference w:id="4"/>
      </w:r>
      <w:bookmarkStart w:id="0" w:name="_GoBack"/>
      <w:bookmarkEnd w:id="0"/>
      <w:r w:rsidR="00DC4495">
        <w:rPr>
          <w:rFonts w:asciiTheme="minorHAnsi" w:hAnsiTheme="minorHAnsi"/>
        </w:rPr>
        <w:t xml:space="preserve"> </w:t>
      </w:r>
      <w:r w:rsidR="00C16FC1">
        <w:rPr>
          <w:rFonts w:asciiTheme="minorHAnsi" w:hAnsiTheme="minorHAnsi"/>
        </w:rPr>
        <w:t xml:space="preserve">Even so, corrective justice theorists have latched onto </w:t>
      </w:r>
      <w:r w:rsidR="00945750">
        <w:rPr>
          <w:rFonts w:asciiTheme="minorHAnsi" w:hAnsiTheme="minorHAnsi"/>
        </w:rPr>
        <w:t xml:space="preserve">a </w:t>
      </w:r>
      <w:r w:rsidR="00C16FC1">
        <w:rPr>
          <w:rFonts w:asciiTheme="minorHAnsi" w:hAnsiTheme="minorHAnsi"/>
        </w:rPr>
        <w:t xml:space="preserve">fundamental </w:t>
      </w:r>
      <w:r w:rsidR="00945750">
        <w:rPr>
          <w:rFonts w:asciiTheme="minorHAnsi" w:hAnsiTheme="minorHAnsi"/>
        </w:rPr>
        <w:t xml:space="preserve">feature of </w:t>
      </w:r>
      <w:r w:rsidR="00C16FC1">
        <w:rPr>
          <w:rFonts w:asciiTheme="minorHAnsi" w:hAnsiTheme="minorHAnsi"/>
        </w:rPr>
        <w:t>the law of torts.</w:t>
      </w:r>
      <w:r w:rsidR="00B568D9">
        <w:rPr>
          <w:rFonts w:asciiTheme="minorHAnsi" w:hAnsiTheme="minorHAnsi"/>
        </w:rPr>
        <w:t xml:space="preserve"> </w:t>
      </w:r>
      <w:r w:rsidR="00976257">
        <w:rPr>
          <w:rFonts w:asciiTheme="minorHAnsi" w:hAnsiTheme="minorHAnsi"/>
        </w:rPr>
        <w:t>“</w:t>
      </w:r>
      <w:r w:rsidR="00A23BEB">
        <w:rPr>
          <w:rFonts w:asciiTheme="minorHAnsi" w:hAnsiTheme="minorHAnsi"/>
        </w:rPr>
        <w:t>Reparati</w:t>
      </w:r>
      <w:r w:rsidR="00976257">
        <w:rPr>
          <w:rFonts w:asciiTheme="minorHAnsi" w:hAnsiTheme="minorHAnsi"/>
        </w:rPr>
        <w:t>ve damages” as John Gardner says, “</w:t>
      </w:r>
      <w:r w:rsidR="00976257" w:rsidRPr="00976257">
        <w:rPr>
          <w:rFonts w:asciiTheme="minorHAnsi" w:hAnsiTheme="minorHAnsi"/>
        </w:rPr>
        <w:t>have pride of place as a remedy for tortious wrongdoing.</w:t>
      </w:r>
      <w:r w:rsidR="00976257">
        <w:rPr>
          <w:rFonts w:asciiTheme="minorHAnsi" w:hAnsiTheme="minorHAnsi"/>
        </w:rPr>
        <w:t>”</w:t>
      </w:r>
      <w:r w:rsidR="007A2F88" w:rsidRPr="007A2F88">
        <w:rPr>
          <w:rFonts w:asciiTheme="minorHAnsi" w:hAnsiTheme="minorHAnsi"/>
          <w:vertAlign w:val="superscript"/>
        </w:rPr>
        <w:footnoteReference w:id="5"/>
      </w:r>
      <w:r w:rsidR="006A588F" w:rsidRPr="006A588F">
        <w:rPr>
          <w:rFonts w:asciiTheme="minorHAnsi" w:hAnsiTheme="minorHAnsi"/>
        </w:rPr>
        <w:t xml:space="preserve"> </w:t>
      </w:r>
      <w:r w:rsidR="00B07D9D">
        <w:rPr>
          <w:rFonts w:asciiTheme="minorHAnsi" w:hAnsiTheme="minorHAnsi"/>
        </w:rPr>
        <w:t xml:space="preserve">Accidents cannot be enjoined, and </w:t>
      </w:r>
      <w:r w:rsidR="006A588F">
        <w:rPr>
          <w:rFonts w:asciiTheme="minorHAnsi" w:hAnsiTheme="minorHAnsi"/>
        </w:rPr>
        <w:t>tortious wrongs usually inflict impairment—disability, disfigurement</w:t>
      </w:r>
      <w:r w:rsidR="008D420A">
        <w:rPr>
          <w:rFonts w:asciiTheme="minorHAnsi" w:hAnsiTheme="minorHAnsi"/>
        </w:rPr>
        <w:t>,</w:t>
      </w:r>
      <w:r w:rsidR="006A588F">
        <w:rPr>
          <w:rFonts w:asciiTheme="minorHAnsi" w:hAnsiTheme="minorHAnsi"/>
        </w:rPr>
        <w:t xml:space="preserve"> and </w:t>
      </w:r>
      <w:r w:rsidR="00BE717C">
        <w:rPr>
          <w:rFonts w:asciiTheme="minorHAnsi" w:hAnsiTheme="minorHAnsi"/>
        </w:rPr>
        <w:t>physical injury.</w:t>
      </w:r>
      <w:r w:rsidR="00B07D9D">
        <w:rPr>
          <w:rFonts w:asciiTheme="minorHAnsi" w:hAnsiTheme="minorHAnsi"/>
        </w:rPr>
        <w:t xml:space="preserve"> </w:t>
      </w:r>
      <w:r w:rsidR="008D420A">
        <w:rPr>
          <w:rFonts w:asciiTheme="minorHAnsi" w:hAnsiTheme="minorHAnsi"/>
        </w:rPr>
        <w:t xml:space="preserve">Most of the time, </w:t>
      </w:r>
      <w:r w:rsidR="00E7455C">
        <w:rPr>
          <w:rFonts w:asciiTheme="minorHAnsi" w:hAnsiTheme="minorHAnsi"/>
        </w:rPr>
        <w:t xml:space="preserve">then, </w:t>
      </w:r>
      <w:r w:rsidR="008D420A">
        <w:rPr>
          <w:rFonts w:asciiTheme="minorHAnsi" w:hAnsiTheme="minorHAnsi"/>
        </w:rPr>
        <w:t xml:space="preserve">tort law </w:t>
      </w:r>
      <w:r w:rsidR="006A588F">
        <w:rPr>
          <w:rFonts w:asciiTheme="minorHAnsi" w:hAnsiTheme="minorHAnsi"/>
        </w:rPr>
        <w:t xml:space="preserve">finds itself </w:t>
      </w:r>
      <w:r w:rsidR="001A4E5A">
        <w:rPr>
          <w:rFonts w:asciiTheme="minorHAnsi" w:hAnsiTheme="minorHAnsi"/>
        </w:rPr>
        <w:t>faced with the task of picking up pieces and putting them back together again.</w:t>
      </w:r>
      <w:r w:rsidR="006A588F">
        <w:rPr>
          <w:rFonts w:asciiTheme="minorHAnsi" w:hAnsiTheme="minorHAnsi"/>
        </w:rPr>
        <w:t xml:space="preserve"> </w:t>
      </w:r>
      <w:r w:rsidR="000A3AC9">
        <w:rPr>
          <w:rFonts w:asciiTheme="minorHAnsi" w:hAnsiTheme="minorHAnsi"/>
        </w:rPr>
        <w:t>T</w:t>
      </w:r>
      <w:r w:rsidR="001A4E5A">
        <w:rPr>
          <w:rFonts w:asciiTheme="minorHAnsi" w:hAnsiTheme="minorHAnsi"/>
        </w:rPr>
        <w:t xml:space="preserve">his task is as difficult as it is </w:t>
      </w:r>
      <w:r w:rsidR="001A4E5A">
        <w:rPr>
          <w:rFonts w:asciiTheme="minorHAnsi" w:hAnsiTheme="minorHAnsi"/>
        </w:rPr>
        <w:lastRenderedPageBreak/>
        <w:t xml:space="preserve">inescapable. </w:t>
      </w:r>
      <w:r w:rsidR="00DF54DB">
        <w:rPr>
          <w:rFonts w:asciiTheme="minorHAnsi" w:hAnsiTheme="minorHAnsi"/>
        </w:rPr>
        <w:t>In tort, reparation</w:t>
      </w:r>
      <w:r w:rsidR="003C4953">
        <w:rPr>
          <w:rFonts w:asciiTheme="minorHAnsi" w:hAnsiTheme="minorHAnsi"/>
        </w:rPr>
        <w:t>’s standard form</w:t>
      </w:r>
      <w:r w:rsidR="00DF54DB">
        <w:rPr>
          <w:rFonts w:asciiTheme="minorHAnsi" w:hAnsiTheme="minorHAnsi"/>
        </w:rPr>
        <w:t xml:space="preserve"> is compensation</w:t>
      </w:r>
      <w:r w:rsidR="00D4340F">
        <w:rPr>
          <w:rFonts w:asciiTheme="minorHAnsi" w:hAnsiTheme="minorHAnsi"/>
        </w:rPr>
        <w:t>,</w:t>
      </w:r>
      <w:r w:rsidR="00DF54DB">
        <w:rPr>
          <w:rFonts w:asciiTheme="minorHAnsi" w:hAnsiTheme="minorHAnsi"/>
        </w:rPr>
        <w:t xml:space="preserve"> </w:t>
      </w:r>
      <w:r w:rsidR="00051BE4">
        <w:rPr>
          <w:rFonts w:asciiTheme="minorHAnsi" w:hAnsiTheme="minorHAnsi"/>
        </w:rPr>
        <w:t>and t</w:t>
      </w:r>
      <w:r w:rsidR="000A3AC9">
        <w:rPr>
          <w:rFonts w:asciiTheme="minorHAnsi" w:hAnsiTheme="minorHAnsi"/>
        </w:rPr>
        <w:t>he</w:t>
      </w:r>
      <w:r w:rsidR="006520E0">
        <w:rPr>
          <w:rFonts w:asciiTheme="minorHAnsi" w:hAnsiTheme="minorHAnsi"/>
        </w:rPr>
        <w:t xml:space="preserve"> “basic </w:t>
      </w:r>
      <w:r w:rsidR="006520E0" w:rsidRPr="006520E0">
        <w:rPr>
          <w:rFonts w:asciiTheme="minorHAnsi" w:hAnsiTheme="minorHAnsi"/>
        </w:rPr>
        <w:t>rule of tort compensation</w:t>
      </w:r>
      <w:r w:rsidR="006520E0">
        <w:rPr>
          <w:rFonts w:asciiTheme="minorHAnsi" w:hAnsiTheme="minorHAnsi"/>
        </w:rPr>
        <w:t xml:space="preserve"> </w:t>
      </w:r>
      <w:r w:rsidR="006520E0" w:rsidRPr="006520E0">
        <w:rPr>
          <w:rFonts w:asciiTheme="minorHAnsi" w:hAnsiTheme="minorHAnsi"/>
        </w:rPr>
        <w:t>is that the plaintiff should be put in the position that he</w:t>
      </w:r>
      <w:r w:rsidR="006520E0">
        <w:rPr>
          <w:rFonts w:asciiTheme="minorHAnsi" w:hAnsiTheme="minorHAnsi"/>
        </w:rPr>
        <w:t xml:space="preserve"> </w:t>
      </w:r>
      <w:r w:rsidR="006520E0" w:rsidRPr="006520E0">
        <w:rPr>
          <w:rFonts w:asciiTheme="minorHAnsi" w:hAnsiTheme="minorHAnsi"/>
        </w:rPr>
        <w:t xml:space="preserve">would have been in absent the defendant's </w:t>
      </w:r>
      <w:r w:rsidR="003C4953">
        <w:rPr>
          <w:rFonts w:asciiTheme="minorHAnsi" w:hAnsiTheme="minorHAnsi"/>
        </w:rPr>
        <w:t>[wrong]</w:t>
      </w:r>
      <w:r w:rsidR="006520E0" w:rsidRPr="006520E0">
        <w:rPr>
          <w:rFonts w:asciiTheme="minorHAnsi" w:hAnsiTheme="minorHAnsi"/>
        </w:rPr>
        <w:t>.</w:t>
      </w:r>
      <w:r w:rsidR="006520E0">
        <w:rPr>
          <w:rFonts w:asciiTheme="minorHAnsi" w:hAnsiTheme="minorHAnsi"/>
        </w:rPr>
        <w:t>”</w:t>
      </w:r>
      <w:r w:rsidR="007A2F88" w:rsidRPr="007A2F88">
        <w:rPr>
          <w:rFonts w:asciiTheme="minorHAnsi" w:hAnsiTheme="minorHAnsi"/>
          <w:vertAlign w:val="superscript"/>
        </w:rPr>
        <w:t xml:space="preserve"> </w:t>
      </w:r>
      <w:r w:rsidR="007A2F88" w:rsidRPr="007A2F88">
        <w:rPr>
          <w:rFonts w:asciiTheme="minorHAnsi" w:hAnsiTheme="minorHAnsi"/>
          <w:vertAlign w:val="superscript"/>
        </w:rPr>
        <w:footnoteReference w:id="6"/>
      </w:r>
      <w:r w:rsidR="007A2F88" w:rsidRPr="007A2F88">
        <w:rPr>
          <w:rFonts w:asciiTheme="minorHAnsi" w:hAnsiTheme="minorHAnsi"/>
        </w:rPr>
        <w:t xml:space="preserve"> </w:t>
      </w:r>
      <w:r w:rsidR="000A3AC9">
        <w:rPr>
          <w:rFonts w:asciiTheme="minorHAnsi" w:hAnsiTheme="minorHAnsi"/>
        </w:rPr>
        <w:t xml:space="preserve"> </w:t>
      </w:r>
      <w:r w:rsidR="00DF54DB">
        <w:rPr>
          <w:rFonts w:asciiTheme="minorHAnsi" w:hAnsiTheme="minorHAnsi"/>
        </w:rPr>
        <w:t>B</w:t>
      </w:r>
      <w:r w:rsidR="00DF54DB" w:rsidRPr="00DF54DB">
        <w:rPr>
          <w:rFonts w:asciiTheme="minorHAnsi" w:hAnsiTheme="minorHAnsi"/>
        </w:rPr>
        <w:t>y enabling victims to replace the diverse goods that wrongfully inflicted harm has taken from them—emotional tranquility, good health, and intact bodies,</w:t>
      </w:r>
      <w:r w:rsidR="00DF54DB">
        <w:rPr>
          <w:rFonts w:asciiTheme="minorHAnsi" w:hAnsiTheme="minorHAnsi"/>
        </w:rPr>
        <w:t xml:space="preserve"> as well as wealth and income—c</w:t>
      </w:r>
      <w:r w:rsidR="00CC1B32">
        <w:rPr>
          <w:rFonts w:asciiTheme="minorHAnsi" w:hAnsiTheme="minorHAnsi"/>
        </w:rPr>
        <w:t xml:space="preserve">ompensatory </w:t>
      </w:r>
      <w:r w:rsidR="00BF0AAC">
        <w:rPr>
          <w:rFonts w:asciiTheme="minorHAnsi" w:hAnsiTheme="minorHAnsi"/>
        </w:rPr>
        <w:t>d</w:t>
      </w:r>
      <w:r w:rsidR="00DA5DC7">
        <w:rPr>
          <w:rFonts w:asciiTheme="minorHAnsi" w:hAnsiTheme="minorHAnsi"/>
        </w:rPr>
        <w:t>amages</w:t>
      </w:r>
      <w:r w:rsidR="00BF0AAC">
        <w:rPr>
          <w:rFonts w:asciiTheme="minorHAnsi" w:hAnsiTheme="minorHAnsi"/>
        </w:rPr>
        <w:t xml:space="preserve"> </w:t>
      </w:r>
      <w:r w:rsidR="00C43E42">
        <w:rPr>
          <w:rFonts w:asciiTheme="minorHAnsi" w:hAnsiTheme="minorHAnsi"/>
        </w:rPr>
        <w:t xml:space="preserve">attempt to </w:t>
      </w:r>
      <w:r w:rsidR="00BE717C">
        <w:rPr>
          <w:rFonts w:asciiTheme="minorHAnsi" w:hAnsiTheme="minorHAnsi"/>
        </w:rPr>
        <w:t xml:space="preserve">restore to victims what it is that wrongful injury has taken from them. </w:t>
      </w:r>
      <w:r w:rsidR="00E4294A">
        <w:rPr>
          <w:rFonts w:asciiTheme="minorHAnsi" w:hAnsiTheme="minorHAnsi"/>
        </w:rPr>
        <w:t>Yet</w:t>
      </w:r>
      <w:r w:rsidR="00DA5DC7">
        <w:rPr>
          <w:rFonts w:asciiTheme="minorHAnsi" w:hAnsiTheme="minorHAnsi"/>
        </w:rPr>
        <w:t xml:space="preserve"> </w:t>
      </w:r>
      <w:r w:rsidR="00871B18">
        <w:rPr>
          <w:rFonts w:asciiTheme="minorHAnsi" w:hAnsiTheme="minorHAnsi"/>
        </w:rPr>
        <w:t>“</w:t>
      </w:r>
      <w:r w:rsidR="00E4294A">
        <w:rPr>
          <w:rFonts w:asciiTheme="minorHAnsi" w:hAnsiTheme="minorHAnsi"/>
        </w:rPr>
        <w:t>[m]</w:t>
      </w:r>
      <w:r w:rsidR="00871B18">
        <w:rPr>
          <w:rFonts w:asciiTheme="minorHAnsi" w:hAnsiTheme="minorHAnsi"/>
        </w:rPr>
        <w:t>oney</w:t>
      </w:r>
      <w:r w:rsidR="00D4340F">
        <w:rPr>
          <w:rFonts w:asciiTheme="minorHAnsi" w:hAnsiTheme="minorHAnsi"/>
        </w:rPr>
        <w:t>,</w:t>
      </w:r>
      <w:r w:rsidR="00871B18">
        <w:rPr>
          <w:rFonts w:asciiTheme="minorHAnsi" w:hAnsiTheme="minorHAnsi"/>
        </w:rPr>
        <w:t xml:space="preserve">” </w:t>
      </w:r>
      <w:r w:rsidR="00111BD0">
        <w:rPr>
          <w:rFonts w:asciiTheme="minorHAnsi" w:hAnsiTheme="minorHAnsi"/>
        </w:rPr>
        <w:t xml:space="preserve">as </w:t>
      </w:r>
      <w:r w:rsidR="00871B18">
        <w:rPr>
          <w:rFonts w:asciiTheme="minorHAnsi" w:hAnsiTheme="minorHAnsi"/>
        </w:rPr>
        <w:t>one leading remedies scholar explains, “is an adequate remedy if, and only if, it can be used to replace the specific thing that was lost.”</w:t>
      </w:r>
      <w:r w:rsidR="003A44B9">
        <w:rPr>
          <w:rStyle w:val="FootnoteReference"/>
          <w:rFonts w:asciiTheme="minorHAnsi" w:hAnsiTheme="minorHAnsi"/>
        </w:rPr>
        <w:footnoteReference w:id="7"/>
      </w:r>
      <w:r w:rsidR="00871B18">
        <w:rPr>
          <w:rFonts w:asciiTheme="minorHAnsi" w:hAnsiTheme="minorHAnsi"/>
        </w:rPr>
        <w:t xml:space="preserve"> </w:t>
      </w:r>
      <w:r w:rsidR="00F01B81">
        <w:rPr>
          <w:rFonts w:asciiTheme="minorHAnsi" w:hAnsiTheme="minorHAnsi"/>
        </w:rPr>
        <w:t xml:space="preserve"> </w:t>
      </w:r>
      <w:r w:rsidR="00287F4A">
        <w:rPr>
          <w:rFonts w:asciiTheme="minorHAnsi" w:hAnsiTheme="minorHAnsi"/>
        </w:rPr>
        <w:t xml:space="preserve">By the lights of this </w:t>
      </w:r>
      <w:r w:rsidR="00DA5DC7">
        <w:rPr>
          <w:rFonts w:asciiTheme="minorHAnsi" w:hAnsiTheme="minorHAnsi"/>
        </w:rPr>
        <w:t>trad</w:t>
      </w:r>
      <w:r w:rsidR="005E2D18">
        <w:rPr>
          <w:rFonts w:asciiTheme="minorHAnsi" w:hAnsiTheme="minorHAnsi"/>
        </w:rPr>
        <w:t>i</w:t>
      </w:r>
      <w:r w:rsidR="00DA5DC7">
        <w:rPr>
          <w:rFonts w:asciiTheme="minorHAnsi" w:hAnsiTheme="minorHAnsi"/>
        </w:rPr>
        <w:t>tional</w:t>
      </w:r>
      <w:r w:rsidR="00506ACE">
        <w:rPr>
          <w:rFonts w:asciiTheme="minorHAnsi" w:hAnsiTheme="minorHAnsi"/>
        </w:rPr>
        <w:t xml:space="preserve"> </w:t>
      </w:r>
      <w:r w:rsidR="00287F4A">
        <w:rPr>
          <w:rFonts w:asciiTheme="minorHAnsi" w:hAnsiTheme="minorHAnsi"/>
        </w:rPr>
        <w:t xml:space="preserve">rule, </w:t>
      </w:r>
      <w:r w:rsidR="00C43E42">
        <w:rPr>
          <w:rFonts w:asciiTheme="minorHAnsi" w:hAnsiTheme="minorHAnsi"/>
        </w:rPr>
        <w:t>in tort</w:t>
      </w:r>
      <w:r w:rsidR="001A4E5A">
        <w:rPr>
          <w:rFonts w:asciiTheme="minorHAnsi" w:hAnsiTheme="minorHAnsi"/>
        </w:rPr>
        <w:t>,</w:t>
      </w:r>
      <w:r w:rsidR="00C43E42">
        <w:rPr>
          <w:rFonts w:asciiTheme="minorHAnsi" w:hAnsiTheme="minorHAnsi"/>
        </w:rPr>
        <w:t xml:space="preserve"> </w:t>
      </w:r>
      <w:r w:rsidR="00287F4A">
        <w:rPr>
          <w:rFonts w:asciiTheme="minorHAnsi" w:hAnsiTheme="minorHAnsi"/>
        </w:rPr>
        <w:t xml:space="preserve">money damages are </w:t>
      </w:r>
      <w:r w:rsidR="004760C0">
        <w:rPr>
          <w:rFonts w:asciiTheme="minorHAnsi" w:hAnsiTheme="minorHAnsi"/>
        </w:rPr>
        <w:t xml:space="preserve">often </w:t>
      </w:r>
      <w:r w:rsidR="00287F4A">
        <w:rPr>
          <w:rFonts w:asciiTheme="minorHAnsi" w:hAnsiTheme="minorHAnsi"/>
        </w:rPr>
        <w:t>inadequate</w:t>
      </w:r>
      <w:r w:rsidR="00F14797">
        <w:rPr>
          <w:rFonts w:asciiTheme="minorHAnsi" w:hAnsiTheme="minorHAnsi"/>
        </w:rPr>
        <w:t xml:space="preserve">. </w:t>
      </w:r>
      <w:r w:rsidR="004760C0">
        <w:rPr>
          <w:rFonts w:asciiTheme="minorHAnsi" w:hAnsiTheme="minorHAnsi"/>
        </w:rPr>
        <w:t>Often, t</w:t>
      </w:r>
      <w:r w:rsidR="00111BD0">
        <w:rPr>
          <w:rFonts w:asciiTheme="minorHAnsi" w:hAnsiTheme="minorHAnsi"/>
        </w:rPr>
        <w:t>he effects of physical h</w:t>
      </w:r>
      <w:r w:rsidR="005E2D18">
        <w:rPr>
          <w:rFonts w:asciiTheme="minorHAnsi" w:hAnsiTheme="minorHAnsi"/>
        </w:rPr>
        <w:t xml:space="preserve">arm </w:t>
      </w:r>
      <w:r w:rsidR="00111BD0">
        <w:rPr>
          <w:rFonts w:asciiTheme="minorHAnsi" w:hAnsiTheme="minorHAnsi"/>
        </w:rPr>
        <w:t xml:space="preserve">cannot be </w:t>
      </w:r>
      <w:r w:rsidR="005E2D18">
        <w:rPr>
          <w:rFonts w:asciiTheme="minorHAnsi" w:hAnsiTheme="minorHAnsi"/>
        </w:rPr>
        <w:t xml:space="preserve">completely repaired, or wholly erased. </w:t>
      </w:r>
      <w:r w:rsidR="00C43E42">
        <w:rPr>
          <w:rFonts w:asciiTheme="minorHAnsi" w:hAnsiTheme="minorHAnsi"/>
        </w:rPr>
        <w:t xml:space="preserve">All the money in the world will not enable us to </w:t>
      </w:r>
      <w:r w:rsidR="00E6162E">
        <w:rPr>
          <w:rFonts w:asciiTheme="minorHAnsi" w:hAnsiTheme="minorHAnsi"/>
        </w:rPr>
        <w:t xml:space="preserve">run the </w:t>
      </w:r>
      <w:r w:rsidR="001A4E5A">
        <w:rPr>
          <w:rFonts w:asciiTheme="minorHAnsi" w:hAnsiTheme="minorHAnsi"/>
        </w:rPr>
        <w:t xml:space="preserve">movie </w:t>
      </w:r>
      <w:r w:rsidR="00E6162E">
        <w:rPr>
          <w:rFonts w:asciiTheme="minorHAnsi" w:hAnsiTheme="minorHAnsi"/>
        </w:rPr>
        <w:t>reel of time backwards and “unbreak legs</w:t>
      </w:r>
      <w:r w:rsidR="00C43E42">
        <w:rPr>
          <w:rFonts w:asciiTheme="minorHAnsi" w:hAnsiTheme="minorHAnsi"/>
        </w:rPr>
        <w:t>.”</w:t>
      </w:r>
      <w:r w:rsidR="00E6162E">
        <w:rPr>
          <w:rStyle w:val="FootnoteReference"/>
          <w:rFonts w:asciiTheme="minorHAnsi" w:hAnsiTheme="minorHAnsi"/>
        </w:rPr>
        <w:footnoteReference w:id="8"/>
      </w:r>
      <w:r w:rsidR="00E6162E">
        <w:rPr>
          <w:rFonts w:asciiTheme="minorHAnsi" w:hAnsiTheme="minorHAnsi"/>
        </w:rPr>
        <w:t xml:space="preserve"> </w:t>
      </w:r>
      <w:r w:rsidR="001A4E5A">
        <w:rPr>
          <w:rFonts w:asciiTheme="minorHAnsi" w:hAnsiTheme="minorHAnsi"/>
        </w:rPr>
        <w:t>Sometimes, broken bodies, limbs</w:t>
      </w:r>
      <w:r w:rsidR="00E5514E">
        <w:rPr>
          <w:rFonts w:asciiTheme="minorHAnsi" w:hAnsiTheme="minorHAnsi"/>
        </w:rPr>
        <w:t>,</w:t>
      </w:r>
      <w:r w:rsidR="001A4E5A">
        <w:rPr>
          <w:rFonts w:asciiTheme="minorHAnsi" w:hAnsiTheme="minorHAnsi"/>
        </w:rPr>
        <w:t xml:space="preserve"> and psyches can be made “as good as new</w:t>
      </w:r>
      <w:r w:rsidR="00D4340F">
        <w:rPr>
          <w:rFonts w:asciiTheme="minorHAnsi" w:hAnsiTheme="minorHAnsi"/>
        </w:rPr>
        <w:t>,</w:t>
      </w:r>
      <w:r w:rsidR="001A4E5A">
        <w:rPr>
          <w:rFonts w:asciiTheme="minorHAnsi" w:hAnsiTheme="minorHAnsi"/>
        </w:rPr>
        <w:t>” but often they cannot be.</w:t>
      </w:r>
    </w:p>
    <w:p w14:paraId="29A994AC" w14:textId="79DCD67D" w:rsidR="00287F4A" w:rsidRPr="00802F4E" w:rsidRDefault="001A4E5A" w:rsidP="00EC12AB">
      <w:pPr>
        <w:spacing w:line="276" w:lineRule="auto"/>
        <w:jc w:val="both"/>
        <w:rPr>
          <w:rFonts w:ascii="Garamond" w:eastAsiaTheme="minorHAnsi" w:hAnsi="Garamond"/>
          <w:lang w:eastAsia="en-US"/>
        </w:rPr>
      </w:pPr>
      <w:r>
        <w:rPr>
          <w:rFonts w:asciiTheme="minorHAnsi" w:hAnsiTheme="minorHAnsi"/>
        </w:rPr>
        <w:t xml:space="preserve">Normally, in fact, </w:t>
      </w:r>
      <w:r w:rsidR="004D151B">
        <w:rPr>
          <w:rFonts w:asciiTheme="minorHAnsi" w:hAnsiTheme="minorHAnsi"/>
        </w:rPr>
        <w:t xml:space="preserve">tort </w:t>
      </w:r>
      <w:r w:rsidR="00DF54DB">
        <w:rPr>
          <w:rFonts w:asciiTheme="minorHAnsi" w:hAnsiTheme="minorHAnsi"/>
        </w:rPr>
        <w:t xml:space="preserve">reparation is not </w:t>
      </w:r>
      <w:r>
        <w:rPr>
          <w:rFonts w:asciiTheme="minorHAnsi" w:hAnsiTheme="minorHAnsi"/>
        </w:rPr>
        <w:t xml:space="preserve">fully </w:t>
      </w:r>
      <w:r w:rsidR="00DF54DB">
        <w:rPr>
          <w:rFonts w:asciiTheme="minorHAnsi" w:hAnsiTheme="minorHAnsi"/>
        </w:rPr>
        <w:t xml:space="preserve">up to </w:t>
      </w:r>
      <w:r w:rsidR="004D151B">
        <w:rPr>
          <w:rFonts w:asciiTheme="minorHAnsi" w:hAnsiTheme="minorHAnsi"/>
        </w:rPr>
        <w:t xml:space="preserve">its assigned task. </w:t>
      </w:r>
      <w:r w:rsidR="00935AAB" w:rsidRPr="00935AAB">
        <w:rPr>
          <w:rFonts w:asciiTheme="minorHAnsi" w:hAnsiTheme="minorHAnsi"/>
        </w:rPr>
        <w:t>Physical impairment is one of the elements of a standard negligence claim</w:t>
      </w:r>
      <w:r w:rsidR="00D4340F">
        <w:rPr>
          <w:rFonts w:asciiTheme="minorHAnsi" w:hAnsiTheme="minorHAnsi"/>
        </w:rPr>
        <w:t>,</w:t>
      </w:r>
      <w:r w:rsidR="00935AAB">
        <w:rPr>
          <w:rFonts w:asciiTheme="minorHAnsi" w:hAnsiTheme="minorHAnsi"/>
        </w:rPr>
        <w:t xml:space="preserve"> and s</w:t>
      </w:r>
      <w:r w:rsidR="003C4953">
        <w:rPr>
          <w:rFonts w:asciiTheme="minorHAnsi" w:hAnsiTheme="minorHAnsi"/>
        </w:rPr>
        <w:t>erious p</w:t>
      </w:r>
      <w:r w:rsidR="00023A48">
        <w:rPr>
          <w:rFonts w:asciiTheme="minorHAnsi" w:hAnsiTheme="minorHAnsi"/>
        </w:rPr>
        <w:t xml:space="preserve">hysical </w:t>
      </w:r>
      <w:r w:rsidR="003C4953">
        <w:rPr>
          <w:rFonts w:asciiTheme="minorHAnsi" w:hAnsiTheme="minorHAnsi"/>
        </w:rPr>
        <w:t xml:space="preserve">harm </w:t>
      </w:r>
      <w:r w:rsidR="00023A48">
        <w:rPr>
          <w:rFonts w:asciiTheme="minorHAnsi" w:hAnsiTheme="minorHAnsi"/>
        </w:rPr>
        <w:t xml:space="preserve">is the normal </w:t>
      </w:r>
      <w:r w:rsidR="003C4953">
        <w:rPr>
          <w:rFonts w:asciiTheme="minorHAnsi" w:hAnsiTheme="minorHAnsi"/>
        </w:rPr>
        <w:t xml:space="preserve">injury </w:t>
      </w:r>
      <w:r w:rsidR="00023A48">
        <w:rPr>
          <w:rFonts w:asciiTheme="minorHAnsi" w:hAnsiTheme="minorHAnsi"/>
        </w:rPr>
        <w:t xml:space="preserve">inflicted by </w:t>
      </w:r>
      <w:r w:rsidR="003C4953">
        <w:rPr>
          <w:rFonts w:asciiTheme="minorHAnsi" w:hAnsiTheme="minorHAnsi"/>
        </w:rPr>
        <w:t>tortious negligence</w:t>
      </w:r>
      <w:r w:rsidR="00506ACE">
        <w:rPr>
          <w:rFonts w:asciiTheme="minorHAnsi" w:hAnsiTheme="minorHAnsi"/>
        </w:rPr>
        <w:t>.</w:t>
      </w:r>
      <w:r w:rsidR="004D608C">
        <w:rPr>
          <w:rStyle w:val="FootnoteReference"/>
          <w:rFonts w:asciiTheme="minorHAnsi" w:hAnsiTheme="minorHAnsi"/>
        </w:rPr>
        <w:footnoteReference w:id="9"/>
      </w:r>
      <w:r w:rsidR="00491946">
        <w:rPr>
          <w:rFonts w:asciiTheme="minorHAnsi" w:hAnsiTheme="minorHAnsi"/>
        </w:rPr>
        <w:t xml:space="preserve"> </w:t>
      </w:r>
      <w:r w:rsidR="00F01B81">
        <w:rPr>
          <w:rFonts w:asciiTheme="minorHAnsi" w:hAnsiTheme="minorHAnsi"/>
        </w:rPr>
        <w:t xml:space="preserve">If </w:t>
      </w:r>
      <w:r w:rsidR="004C24FB">
        <w:rPr>
          <w:rFonts w:asciiTheme="minorHAnsi" w:hAnsiTheme="minorHAnsi"/>
        </w:rPr>
        <w:t>parts of both of your legs are severed by someone else’s negligence</w:t>
      </w:r>
      <w:r w:rsidR="002C413C">
        <w:rPr>
          <w:rFonts w:asciiTheme="minorHAnsi" w:hAnsiTheme="minorHAnsi"/>
        </w:rPr>
        <w:t>,</w:t>
      </w:r>
      <w:r w:rsidR="005E2D18">
        <w:rPr>
          <w:rStyle w:val="FootnoteReference"/>
          <w:rFonts w:asciiTheme="minorHAnsi" w:hAnsiTheme="minorHAnsi"/>
        </w:rPr>
        <w:footnoteReference w:id="10"/>
      </w:r>
      <w:r w:rsidR="004C24FB">
        <w:rPr>
          <w:rFonts w:asciiTheme="minorHAnsi" w:hAnsiTheme="minorHAnsi"/>
        </w:rPr>
        <w:t xml:space="preserve"> money </w:t>
      </w:r>
      <w:r w:rsidR="005E2D18">
        <w:rPr>
          <w:rFonts w:asciiTheme="minorHAnsi" w:hAnsiTheme="minorHAnsi"/>
        </w:rPr>
        <w:t xml:space="preserve">damages may </w:t>
      </w:r>
      <w:r w:rsidR="004C24FB">
        <w:rPr>
          <w:rFonts w:asciiTheme="minorHAnsi" w:hAnsiTheme="minorHAnsi"/>
        </w:rPr>
        <w:t>enable you to purchase a</w:t>
      </w:r>
      <w:r w:rsidR="00F01B81">
        <w:rPr>
          <w:rFonts w:asciiTheme="minorHAnsi" w:hAnsiTheme="minorHAnsi"/>
        </w:rPr>
        <w:t xml:space="preserve">rtificial </w:t>
      </w:r>
      <w:r w:rsidR="002D296B">
        <w:rPr>
          <w:rFonts w:asciiTheme="minorHAnsi" w:hAnsiTheme="minorHAnsi"/>
        </w:rPr>
        <w:t>replacement</w:t>
      </w:r>
      <w:r w:rsidR="004C24FB">
        <w:rPr>
          <w:rFonts w:asciiTheme="minorHAnsi" w:hAnsiTheme="minorHAnsi"/>
        </w:rPr>
        <w:t>s</w:t>
      </w:r>
      <w:r w:rsidR="002D296B">
        <w:rPr>
          <w:rFonts w:asciiTheme="minorHAnsi" w:hAnsiTheme="minorHAnsi"/>
        </w:rPr>
        <w:t>,</w:t>
      </w:r>
      <w:r w:rsidR="00F01B81">
        <w:rPr>
          <w:rFonts w:asciiTheme="minorHAnsi" w:hAnsiTheme="minorHAnsi"/>
        </w:rPr>
        <w:t xml:space="preserve"> but t</w:t>
      </w:r>
      <w:r w:rsidR="004C24FB">
        <w:rPr>
          <w:rFonts w:asciiTheme="minorHAnsi" w:hAnsiTheme="minorHAnsi"/>
        </w:rPr>
        <w:t>hose</w:t>
      </w:r>
      <w:r w:rsidR="00F01B81">
        <w:rPr>
          <w:rFonts w:asciiTheme="minorHAnsi" w:hAnsiTheme="minorHAnsi"/>
        </w:rPr>
        <w:t xml:space="preserve"> artificial replacement</w:t>
      </w:r>
      <w:r w:rsidR="004C24FB">
        <w:rPr>
          <w:rFonts w:asciiTheme="minorHAnsi" w:hAnsiTheme="minorHAnsi"/>
        </w:rPr>
        <w:t xml:space="preserve">s </w:t>
      </w:r>
      <w:r w:rsidR="00575C14">
        <w:rPr>
          <w:rFonts w:asciiTheme="minorHAnsi" w:hAnsiTheme="minorHAnsi"/>
        </w:rPr>
        <w:t>do no</w:t>
      </w:r>
      <w:r w:rsidR="005E2D18">
        <w:rPr>
          <w:rFonts w:asciiTheme="minorHAnsi" w:hAnsiTheme="minorHAnsi"/>
        </w:rPr>
        <w:t xml:space="preserve">t </w:t>
      </w:r>
      <w:r w:rsidR="00051BE4">
        <w:rPr>
          <w:rFonts w:asciiTheme="minorHAnsi" w:hAnsiTheme="minorHAnsi"/>
        </w:rPr>
        <w:t xml:space="preserve">put you in the same position that you would have been in had your natural limbs not been severed. </w:t>
      </w:r>
      <w:r>
        <w:rPr>
          <w:rFonts w:asciiTheme="minorHAnsi" w:hAnsiTheme="minorHAnsi"/>
        </w:rPr>
        <w:t>Severed l</w:t>
      </w:r>
      <w:r w:rsidR="00575C14" w:rsidRPr="00575C14">
        <w:rPr>
          <w:rFonts w:asciiTheme="minorHAnsi" w:hAnsiTheme="minorHAnsi"/>
        </w:rPr>
        <w:t>imbs</w:t>
      </w:r>
      <w:r w:rsidR="00575C14">
        <w:rPr>
          <w:rFonts w:asciiTheme="minorHAnsi" w:hAnsiTheme="minorHAnsi"/>
        </w:rPr>
        <w:t xml:space="preserve"> </w:t>
      </w:r>
      <w:r w:rsidR="00575C14" w:rsidRPr="00575C14">
        <w:rPr>
          <w:rFonts w:asciiTheme="minorHAnsi" w:hAnsiTheme="minorHAnsi"/>
        </w:rPr>
        <w:t xml:space="preserve">are not </w:t>
      </w:r>
      <w:r>
        <w:rPr>
          <w:rFonts w:asciiTheme="minorHAnsi" w:hAnsiTheme="minorHAnsi"/>
        </w:rPr>
        <w:t xml:space="preserve">snapped walking sticks. </w:t>
      </w:r>
      <w:r w:rsidR="00575C14">
        <w:rPr>
          <w:rFonts w:asciiTheme="minorHAnsi" w:hAnsiTheme="minorHAnsi"/>
        </w:rPr>
        <w:t>M</w:t>
      </w:r>
      <w:r w:rsidR="00575C14" w:rsidRPr="00575C14">
        <w:rPr>
          <w:rFonts w:asciiTheme="minorHAnsi" w:hAnsiTheme="minorHAnsi"/>
        </w:rPr>
        <w:t xml:space="preserve">oney damages </w:t>
      </w:r>
      <w:r w:rsidR="00017537">
        <w:rPr>
          <w:rFonts w:asciiTheme="minorHAnsi" w:hAnsiTheme="minorHAnsi"/>
        </w:rPr>
        <w:t>d</w:t>
      </w:r>
      <w:r w:rsidR="005E2D18">
        <w:rPr>
          <w:rFonts w:asciiTheme="minorHAnsi" w:hAnsiTheme="minorHAnsi"/>
        </w:rPr>
        <w:t xml:space="preserve">o </w:t>
      </w:r>
      <w:r w:rsidR="00575C14" w:rsidRPr="00575C14">
        <w:rPr>
          <w:rFonts w:asciiTheme="minorHAnsi" w:hAnsiTheme="minorHAnsi"/>
        </w:rPr>
        <w:t xml:space="preserve">not enable you to replace </w:t>
      </w:r>
      <w:r w:rsidR="00051BE4">
        <w:rPr>
          <w:rFonts w:asciiTheme="minorHAnsi" w:hAnsiTheme="minorHAnsi"/>
        </w:rPr>
        <w:t>a lost</w:t>
      </w:r>
      <w:r w:rsidR="00017537">
        <w:rPr>
          <w:rFonts w:asciiTheme="minorHAnsi" w:hAnsiTheme="minorHAnsi"/>
        </w:rPr>
        <w:t xml:space="preserve"> leg</w:t>
      </w:r>
      <w:r w:rsidR="00575C14">
        <w:rPr>
          <w:rFonts w:asciiTheme="minorHAnsi" w:hAnsiTheme="minorHAnsi"/>
        </w:rPr>
        <w:t xml:space="preserve"> </w:t>
      </w:r>
      <w:r w:rsidR="00575C14" w:rsidRPr="00575C14">
        <w:rPr>
          <w:rFonts w:asciiTheme="minorHAnsi" w:hAnsiTheme="minorHAnsi"/>
        </w:rPr>
        <w:t xml:space="preserve">with a new and </w:t>
      </w:r>
      <w:r>
        <w:rPr>
          <w:rFonts w:asciiTheme="minorHAnsi" w:hAnsiTheme="minorHAnsi"/>
        </w:rPr>
        <w:t xml:space="preserve">even </w:t>
      </w:r>
      <w:r w:rsidR="00575C14" w:rsidRPr="00575C14">
        <w:rPr>
          <w:rFonts w:asciiTheme="minorHAnsi" w:hAnsiTheme="minorHAnsi"/>
        </w:rPr>
        <w:t xml:space="preserve">better one. </w:t>
      </w:r>
      <w:r w:rsidR="00023399">
        <w:rPr>
          <w:rFonts w:asciiTheme="minorHAnsi" w:hAnsiTheme="minorHAnsi"/>
        </w:rPr>
        <w:t>To acquire a prosthetic limb is to alter one’s physical self</w:t>
      </w:r>
      <w:r w:rsidR="00575C14">
        <w:rPr>
          <w:rFonts w:asciiTheme="minorHAnsi" w:hAnsiTheme="minorHAnsi"/>
        </w:rPr>
        <w:t xml:space="preserve"> and </w:t>
      </w:r>
      <w:r w:rsidR="005E2D18">
        <w:rPr>
          <w:rFonts w:asciiTheme="minorHAnsi" w:hAnsiTheme="minorHAnsi"/>
        </w:rPr>
        <w:t xml:space="preserve">to </w:t>
      </w:r>
      <w:r w:rsidR="00935AAB">
        <w:rPr>
          <w:rFonts w:asciiTheme="minorHAnsi" w:hAnsiTheme="minorHAnsi"/>
        </w:rPr>
        <w:t>undergo a rupture in the course of one’s life</w:t>
      </w:r>
      <w:r w:rsidR="00023399">
        <w:rPr>
          <w:rFonts w:asciiTheme="minorHAnsi" w:hAnsiTheme="minorHAnsi"/>
        </w:rPr>
        <w:t>.</w:t>
      </w:r>
      <w:r w:rsidR="00506ACE">
        <w:rPr>
          <w:rStyle w:val="FootnoteReference"/>
          <w:rFonts w:asciiTheme="minorHAnsi" w:hAnsiTheme="minorHAnsi"/>
        </w:rPr>
        <w:footnoteReference w:id="11"/>
      </w:r>
      <w:r w:rsidR="00023399">
        <w:rPr>
          <w:rFonts w:asciiTheme="minorHAnsi" w:hAnsiTheme="minorHAnsi"/>
        </w:rPr>
        <w:t xml:space="preserve"> </w:t>
      </w:r>
      <w:r w:rsidR="00BF0AAC">
        <w:rPr>
          <w:rFonts w:asciiTheme="minorHAnsi" w:hAnsiTheme="minorHAnsi"/>
        </w:rPr>
        <w:t xml:space="preserve">Harm to </w:t>
      </w:r>
      <w:r w:rsidR="00BA358F">
        <w:rPr>
          <w:rFonts w:asciiTheme="minorHAnsi" w:hAnsiTheme="minorHAnsi"/>
        </w:rPr>
        <w:t xml:space="preserve">real or tangible personal </w:t>
      </w:r>
      <w:r w:rsidR="00BF0AAC">
        <w:rPr>
          <w:rFonts w:asciiTheme="minorHAnsi" w:hAnsiTheme="minorHAnsi"/>
        </w:rPr>
        <w:t xml:space="preserve">property is not </w:t>
      </w:r>
      <w:r w:rsidR="003C4953">
        <w:rPr>
          <w:rFonts w:asciiTheme="minorHAnsi" w:hAnsiTheme="minorHAnsi"/>
        </w:rPr>
        <w:t xml:space="preserve">always </w:t>
      </w:r>
      <w:r w:rsidR="00BF0AAC">
        <w:rPr>
          <w:rFonts w:asciiTheme="minorHAnsi" w:hAnsiTheme="minorHAnsi"/>
        </w:rPr>
        <w:t xml:space="preserve">so very different. </w:t>
      </w:r>
      <w:r w:rsidR="00A61204">
        <w:rPr>
          <w:rFonts w:asciiTheme="minorHAnsi" w:hAnsiTheme="minorHAnsi"/>
        </w:rPr>
        <w:t xml:space="preserve">Some damaged property is fully replaceable. </w:t>
      </w:r>
      <w:r w:rsidR="003C4953">
        <w:rPr>
          <w:rFonts w:asciiTheme="minorHAnsi" w:hAnsiTheme="minorHAnsi"/>
        </w:rPr>
        <w:t xml:space="preserve">Walking sticks </w:t>
      </w:r>
      <w:r w:rsidR="00935AAB">
        <w:rPr>
          <w:rFonts w:asciiTheme="minorHAnsi" w:hAnsiTheme="minorHAnsi"/>
        </w:rPr>
        <w:t xml:space="preserve">usually </w:t>
      </w:r>
      <w:r w:rsidR="00A61204">
        <w:rPr>
          <w:rFonts w:asciiTheme="minorHAnsi" w:hAnsiTheme="minorHAnsi"/>
        </w:rPr>
        <w:t>are. But other property is not</w:t>
      </w:r>
      <w:r w:rsidR="00935AAB">
        <w:rPr>
          <w:rFonts w:asciiTheme="minorHAnsi" w:hAnsiTheme="minorHAnsi"/>
        </w:rPr>
        <w:t xml:space="preserve"> so fungible</w:t>
      </w:r>
      <w:r w:rsidR="00BA358F">
        <w:rPr>
          <w:rFonts w:asciiTheme="minorHAnsi" w:hAnsiTheme="minorHAnsi"/>
        </w:rPr>
        <w:t>.</w:t>
      </w:r>
      <w:r w:rsidR="00017537">
        <w:rPr>
          <w:rFonts w:asciiTheme="minorHAnsi" w:hAnsiTheme="minorHAnsi"/>
        </w:rPr>
        <w:t xml:space="preserve"> </w:t>
      </w:r>
      <w:r w:rsidR="00BA358F">
        <w:rPr>
          <w:rFonts w:asciiTheme="minorHAnsi" w:hAnsiTheme="minorHAnsi"/>
        </w:rPr>
        <w:t xml:space="preserve">In part, we live our lives </w:t>
      </w:r>
      <w:r w:rsidR="00017537">
        <w:rPr>
          <w:rFonts w:asciiTheme="minorHAnsi" w:hAnsiTheme="minorHAnsi"/>
        </w:rPr>
        <w:t>by and through the</w:t>
      </w:r>
      <w:r w:rsidR="00BA358F">
        <w:rPr>
          <w:rFonts w:asciiTheme="minorHAnsi" w:hAnsiTheme="minorHAnsi"/>
        </w:rPr>
        <w:t xml:space="preserve"> objects</w:t>
      </w:r>
      <w:r w:rsidR="00FE78A6">
        <w:rPr>
          <w:rFonts w:asciiTheme="minorHAnsi" w:hAnsiTheme="minorHAnsi"/>
        </w:rPr>
        <w:t xml:space="preserve"> </w:t>
      </w:r>
      <w:r w:rsidR="00BA358F">
        <w:rPr>
          <w:rFonts w:asciiTheme="minorHAnsi" w:hAnsiTheme="minorHAnsi"/>
        </w:rPr>
        <w:t>we acquire and use. Our ownership and use of things incorporate them into our personhood</w:t>
      </w:r>
      <w:r w:rsidR="00017537">
        <w:rPr>
          <w:rFonts w:asciiTheme="minorHAnsi" w:hAnsiTheme="minorHAnsi"/>
        </w:rPr>
        <w:t>.</w:t>
      </w:r>
      <w:r w:rsidR="00821C5A">
        <w:rPr>
          <w:rStyle w:val="FootnoteReference"/>
          <w:rFonts w:asciiTheme="minorHAnsi" w:hAnsiTheme="minorHAnsi"/>
        </w:rPr>
        <w:footnoteReference w:id="12"/>
      </w:r>
      <w:r w:rsidR="00491946">
        <w:rPr>
          <w:rFonts w:asciiTheme="minorHAnsi" w:hAnsiTheme="minorHAnsi"/>
        </w:rPr>
        <w:t xml:space="preserve"> </w:t>
      </w:r>
      <w:r w:rsidR="002D296B">
        <w:rPr>
          <w:rFonts w:asciiTheme="minorHAnsi" w:hAnsiTheme="minorHAnsi"/>
        </w:rPr>
        <w:t xml:space="preserve">If you lose your home and all your earthly possessions to a negligently started fire, </w:t>
      </w:r>
      <w:r w:rsidR="00017537">
        <w:rPr>
          <w:rFonts w:asciiTheme="minorHAnsi" w:hAnsiTheme="minorHAnsi"/>
        </w:rPr>
        <w:t xml:space="preserve">money damages will enable you to purchase </w:t>
      </w:r>
      <w:r w:rsidR="002D296B">
        <w:rPr>
          <w:rFonts w:asciiTheme="minorHAnsi" w:hAnsiTheme="minorHAnsi"/>
        </w:rPr>
        <w:t xml:space="preserve">a new home and new possessions, but </w:t>
      </w:r>
      <w:r w:rsidR="00017537">
        <w:rPr>
          <w:rFonts w:asciiTheme="minorHAnsi" w:hAnsiTheme="minorHAnsi"/>
        </w:rPr>
        <w:t xml:space="preserve">your purchases will </w:t>
      </w:r>
      <w:r w:rsidR="00BE769B">
        <w:rPr>
          <w:rFonts w:asciiTheme="minorHAnsi" w:hAnsiTheme="minorHAnsi"/>
        </w:rPr>
        <w:t xml:space="preserve">go towards building </w:t>
      </w:r>
      <w:r w:rsidR="00017537">
        <w:rPr>
          <w:rFonts w:asciiTheme="minorHAnsi" w:hAnsiTheme="minorHAnsi"/>
        </w:rPr>
        <w:t>a new</w:t>
      </w:r>
      <w:r w:rsidR="00935AAB">
        <w:rPr>
          <w:rFonts w:asciiTheme="minorHAnsi" w:hAnsiTheme="minorHAnsi"/>
        </w:rPr>
        <w:t>, and probably different,</w:t>
      </w:r>
      <w:r w:rsidR="00017537">
        <w:rPr>
          <w:rFonts w:asciiTheme="minorHAnsi" w:hAnsiTheme="minorHAnsi"/>
        </w:rPr>
        <w:t xml:space="preserve"> life</w:t>
      </w:r>
      <w:r w:rsidR="00BE769B">
        <w:rPr>
          <w:rFonts w:asciiTheme="minorHAnsi" w:hAnsiTheme="minorHAnsi"/>
        </w:rPr>
        <w:t xml:space="preserve">. </w:t>
      </w:r>
      <w:r w:rsidR="00935AAB">
        <w:rPr>
          <w:rFonts w:asciiTheme="minorHAnsi" w:hAnsiTheme="minorHAnsi"/>
        </w:rPr>
        <w:t>An important piece of your old life has been destroyed, and m</w:t>
      </w:r>
      <w:r w:rsidR="005431CA">
        <w:rPr>
          <w:rFonts w:asciiTheme="minorHAnsi" w:hAnsiTheme="minorHAnsi"/>
        </w:rPr>
        <w:t>oney does not have the power to summon your previous existence back to life. Your old</w:t>
      </w:r>
      <w:r w:rsidR="00BE769B">
        <w:rPr>
          <w:rFonts w:asciiTheme="minorHAnsi" w:hAnsiTheme="minorHAnsi"/>
        </w:rPr>
        <w:t xml:space="preserve"> </w:t>
      </w:r>
      <w:r w:rsidR="00023A48">
        <w:rPr>
          <w:rFonts w:asciiTheme="minorHAnsi" w:hAnsiTheme="minorHAnsi"/>
        </w:rPr>
        <w:t xml:space="preserve">life </w:t>
      </w:r>
      <w:r w:rsidR="00BE769B">
        <w:rPr>
          <w:rFonts w:asciiTheme="minorHAnsi" w:hAnsiTheme="minorHAnsi"/>
        </w:rPr>
        <w:t xml:space="preserve">is gone. </w:t>
      </w:r>
      <w:r w:rsidR="002D296B">
        <w:rPr>
          <w:rFonts w:asciiTheme="minorHAnsi" w:hAnsiTheme="minorHAnsi"/>
        </w:rPr>
        <w:t xml:space="preserve">Serious physical harm to </w:t>
      </w:r>
      <w:r w:rsidR="00A61204">
        <w:rPr>
          <w:rFonts w:asciiTheme="minorHAnsi" w:hAnsiTheme="minorHAnsi"/>
        </w:rPr>
        <w:t xml:space="preserve">either </w:t>
      </w:r>
      <w:r w:rsidR="002D296B">
        <w:rPr>
          <w:rFonts w:asciiTheme="minorHAnsi" w:hAnsiTheme="minorHAnsi"/>
        </w:rPr>
        <w:t>one’s person</w:t>
      </w:r>
      <w:r w:rsidR="004D151B">
        <w:rPr>
          <w:rFonts w:asciiTheme="minorHAnsi" w:hAnsiTheme="minorHAnsi"/>
        </w:rPr>
        <w:t>—</w:t>
      </w:r>
      <w:r w:rsidR="002D296B">
        <w:rPr>
          <w:rFonts w:asciiTheme="minorHAnsi" w:hAnsiTheme="minorHAnsi"/>
        </w:rPr>
        <w:t xml:space="preserve">or to property invested </w:t>
      </w:r>
      <w:r w:rsidR="002D296B" w:rsidRPr="00802F4E">
        <w:rPr>
          <w:rFonts w:ascii="Garamond" w:eastAsiaTheme="minorHAnsi" w:hAnsi="Garamond"/>
          <w:lang w:eastAsia="en-US"/>
        </w:rPr>
        <w:t>with personality</w:t>
      </w:r>
      <w:r w:rsidR="004D151B">
        <w:rPr>
          <w:rFonts w:ascii="Garamond" w:eastAsiaTheme="minorHAnsi" w:hAnsi="Garamond"/>
          <w:lang w:eastAsia="en-US"/>
        </w:rPr>
        <w:t>—</w:t>
      </w:r>
      <w:r w:rsidR="002D296B" w:rsidRPr="00802F4E">
        <w:rPr>
          <w:rFonts w:ascii="Garamond" w:eastAsiaTheme="minorHAnsi" w:hAnsi="Garamond"/>
          <w:lang w:eastAsia="en-US"/>
        </w:rPr>
        <w:t xml:space="preserve">is </w:t>
      </w:r>
      <w:r w:rsidR="00935AAB">
        <w:rPr>
          <w:rFonts w:ascii="Garamond" w:eastAsiaTheme="minorHAnsi" w:hAnsi="Garamond"/>
          <w:lang w:eastAsia="en-US"/>
        </w:rPr>
        <w:t>not fully repairable.</w:t>
      </w:r>
      <w:r w:rsidR="00491946" w:rsidRPr="00802F4E">
        <w:rPr>
          <w:rFonts w:ascii="Garamond" w:eastAsiaTheme="minorHAnsi" w:hAnsi="Garamond"/>
          <w:lang w:eastAsia="en-US"/>
        </w:rPr>
        <w:t xml:space="preserve"> </w:t>
      </w:r>
      <w:r w:rsidR="00A61204" w:rsidRPr="00802F4E">
        <w:rPr>
          <w:rFonts w:ascii="Garamond" w:eastAsiaTheme="minorHAnsi" w:hAnsi="Garamond"/>
          <w:lang w:eastAsia="en-US"/>
        </w:rPr>
        <w:t xml:space="preserve">Bodies </w:t>
      </w:r>
      <w:r w:rsidR="00017537" w:rsidRPr="00802F4E">
        <w:rPr>
          <w:rFonts w:ascii="Garamond" w:eastAsiaTheme="minorHAnsi" w:hAnsi="Garamond"/>
          <w:lang w:eastAsia="en-US"/>
        </w:rPr>
        <w:t xml:space="preserve">and family heirlooms </w:t>
      </w:r>
      <w:r w:rsidR="00A61204" w:rsidRPr="00802F4E">
        <w:rPr>
          <w:rFonts w:ascii="Garamond" w:eastAsiaTheme="minorHAnsi" w:hAnsi="Garamond"/>
          <w:lang w:eastAsia="en-US"/>
        </w:rPr>
        <w:t xml:space="preserve">are not fungible objects. </w:t>
      </w:r>
    </w:p>
    <w:p w14:paraId="21FF7AE8" w14:textId="7F15FADD" w:rsidR="00A312BD" w:rsidRDefault="00283BFF" w:rsidP="00EC12AB">
      <w:pPr>
        <w:spacing w:line="276" w:lineRule="auto"/>
        <w:jc w:val="both"/>
        <w:rPr>
          <w:rFonts w:ascii="Garamond" w:eastAsiaTheme="minorHAnsi" w:hAnsi="Garamond"/>
          <w:lang w:eastAsia="en-US"/>
        </w:rPr>
      </w:pPr>
      <w:r w:rsidRPr="00802F4E">
        <w:rPr>
          <w:rFonts w:ascii="Garamond" w:eastAsiaTheme="minorHAnsi" w:hAnsi="Garamond"/>
          <w:lang w:eastAsia="en-US"/>
        </w:rPr>
        <w:t>The fact that money damages cannot wholly erase the effects of disability, disfigurement, chronic pain, and other harms to persons and their property has not escaped the attention</w:t>
      </w:r>
      <w:r w:rsidR="00A53991">
        <w:rPr>
          <w:rFonts w:ascii="Garamond" w:eastAsiaTheme="minorHAnsi" w:hAnsi="Garamond"/>
          <w:lang w:eastAsia="en-US"/>
        </w:rPr>
        <w:t xml:space="preserve"> of</w:t>
      </w:r>
      <w:r w:rsidRPr="00802F4E">
        <w:rPr>
          <w:rFonts w:ascii="Garamond" w:eastAsiaTheme="minorHAnsi" w:hAnsi="Garamond"/>
          <w:lang w:eastAsia="en-US"/>
        </w:rPr>
        <w:t xml:space="preserve"> either </w:t>
      </w:r>
      <w:r w:rsidRPr="00802F4E">
        <w:rPr>
          <w:rFonts w:ascii="Garamond" w:eastAsiaTheme="minorHAnsi" w:hAnsi="Garamond"/>
          <w:lang w:eastAsia="en-US"/>
        </w:rPr>
        <w:lastRenderedPageBreak/>
        <w:t>courts or commentators.</w:t>
      </w:r>
      <w:r w:rsidR="00BE769B" w:rsidRPr="00802F4E">
        <w:rPr>
          <w:rFonts w:ascii="Garamond" w:eastAsiaTheme="minorHAnsi" w:hAnsi="Garamond"/>
          <w:lang w:eastAsia="en-US"/>
        </w:rPr>
        <w:t xml:space="preserve"> The </w:t>
      </w:r>
      <w:r w:rsidR="00BE769B" w:rsidRPr="00A53991">
        <w:rPr>
          <w:rFonts w:ascii="Garamond" w:eastAsiaTheme="minorHAnsi" w:hAnsi="Garamond"/>
          <w:i/>
          <w:iCs/>
          <w:lang w:eastAsia="en-US"/>
        </w:rPr>
        <w:t>Second Restatement</w:t>
      </w:r>
      <w:r w:rsidR="00BE769B" w:rsidRPr="00802F4E">
        <w:rPr>
          <w:rFonts w:ascii="Garamond" w:eastAsiaTheme="minorHAnsi" w:hAnsi="Garamond"/>
          <w:lang w:eastAsia="en-US"/>
        </w:rPr>
        <w:t>, for instance, acknowledges that when a “tort causes bodily harm or emotional distress, the law cannot restore the injured person to his previous position.”</w:t>
      </w:r>
      <w:r w:rsidR="00255809" w:rsidRPr="005431CA">
        <w:rPr>
          <w:rFonts w:ascii="Garamond" w:eastAsiaTheme="minorHAnsi" w:hAnsi="Garamond"/>
          <w:vertAlign w:val="superscript"/>
          <w:lang w:eastAsia="en-US"/>
        </w:rPr>
        <w:footnoteReference w:id="13"/>
      </w:r>
      <w:r w:rsidRPr="005431CA">
        <w:rPr>
          <w:rFonts w:ascii="Garamond" w:eastAsiaTheme="minorHAnsi" w:hAnsi="Garamond"/>
          <w:vertAlign w:val="superscript"/>
          <w:lang w:eastAsia="en-US"/>
        </w:rPr>
        <w:t xml:space="preserve"> </w:t>
      </w:r>
      <w:r w:rsidR="00683D58">
        <w:rPr>
          <w:rFonts w:ascii="Garamond" w:eastAsiaTheme="minorHAnsi" w:hAnsi="Garamond"/>
          <w:lang w:eastAsia="en-US"/>
        </w:rPr>
        <w:t>Recognizing the problem</w:t>
      </w:r>
      <w:r w:rsidR="001B1078">
        <w:rPr>
          <w:rFonts w:ascii="Garamond" w:eastAsiaTheme="minorHAnsi" w:hAnsi="Garamond"/>
          <w:lang w:eastAsia="en-US"/>
        </w:rPr>
        <w:t xml:space="preserve">, however, </w:t>
      </w:r>
      <w:r w:rsidR="00683D58">
        <w:rPr>
          <w:rFonts w:ascii="Garamond" w:eastAsiaTheme="minorHAnsi" w:hAnsi="Garamond"/>
          <w:lang w:eastAsia="en-US"/>
        </w:rPr>
        <w:t>is</w:t>
      </w:r>
      <w:r w:rsidR="001B1078">
        <w:rPr>
          <w:rFonts w:ascii="Garamond" w:eastAsiaTheme="minorHAnsi" w:hAnsi="Garamond"/>
          <w:lang w:eastAsia="en-US"/>
        </w:rPr>
        <w:t xml:space="preserve"> one thing; </w:t>
      </w:r>
      <w:r w:rsidR="00683D58">
        <w:rPr>
          <w:rFonts w:ascii="Garamond" w:eastAsiaTheme="minorHAnsi" w:hAnsi="Garamond"/>
          <w:lang w:eastAsia="en-US"/>
        </w:rPr>
        <w:t>resolving it</w:t>
      </w:r>
      <w:r w:rsidR="001B1078">
        <w:rPr>
          <w:rFonts w:ascii="Garamond" w:eastAsiaTheme="minorHAnsi" w:hAnsi="Garamond"/>
          <w:lang w:eastAsia="en-US"/>
        </w:rPr>
        <w:t xml:space="preserve"> is another</w:t>
      </w:r>
      <w:r w:rsidR="00683D58">
        <w:rPr>
          <w:rFonts w:ascii="Garamond" w:eastAsiaTheme="minorHAnsi" w:hAnsi="Garamond"/>
          <w:lang w:eastAsia="en-US"/>
        </w:rPr>
        <w:t xml:space="preserve">. </w:t>
      </w:r>
      <w:r w:rsidR="00980784">
        <w:rPr>
          <w:rFonts w:ascii="Garamond" w:eastAsiaTheme="minorHAnsi" w:hAnsi="Garamond"/>
          <w:lang w:eastAsia="en-US"/>
        </w:rPr>
        <w:t xml:space="preserve">Confronted with the pervasive inability of money damages to repair the most serious of tortiously inflicted harms, </w:t>
      </w:r>
      <w:r w:rsidR="004921C2">
        <w:rPr>
          <w:rFonts w:ascii="Garamond" w:eastAsiaTheme="minorHAnsi" w:hAnsi="Garamond"/>
          <w:lang w:eastAsia="en-US"/>
        </w:rPr>
        <w:t xml:space="preserve">courts and commentators have reworked </w:t>
      </w:r>
      <w:r w:rsidR="00980784">
        <w:rPr>
          <w:rFonts w:ascii="Garamond" w:eastAsiaTheme="minorHAnsi" w:hAnsi="Garamond"/>
          <w:lang w:eastAsia="en-US"/>
        </w:rPr>
        <w:t>d</w:t>
      </w:r>
      <w:r w:rsidR="00610D71">
        <w:rPr>
          <w:rFonts w:ascii="Garamond" w:eastAsiaTheme="minorHAnsi" w:hAnsi="Garamond"/>
          <w:lang w:eastAsia="en-US"/>
        </w:rPr>
        <w:t xml:space="preserve">amage awards in torts </w:t>
      </w:r>
      <w:r w:rsidR="004921C2">
        <w:rPr>
          <w:rFonts w:ascii="Garamond" w:eastAsiaTheme="minorHAnsi" w:hAnsi="Garamond"/>
          <w:lang w:eastAsia="en-US"/>
        </w:rPr>
        <w:t xml:space="preserve">so that they may also </w:t>
      </w:r>
      <w:r w:rsidR="00980784">
        <w:rPr>
          <w:rFonts w:ascii="Garamond" w:eastAsiaTheme="minorHAnsi" w:hAnsi="Garamond"/>
          <w:lang w:eastAsia="en-US"/>
        </w:rPr>
        <w:t xml:space="preserve">serve the expressive end of marking </w:t>
      </w:r>
      <w:r w:rsidR="00683D58">
        <w:rPr>
          <w:rFonts w:ascii="Garamond" w:eastAsiaTheme="minorHAnsi" w:hAnsi="Garamond"/>
          <w:lang w:eastAsia="en-US"/>
        </w:rPr>
        <w:t xml:space="preserve">the significance of harms </w:t>
      </w:r>
      <w:r w:rsidR="002B45D1">
        <w:rPr>
          <w:rFonts w:ascii="Garamond" w:eastAsiaTheme="minorHAnsi" w:hAnsi="Garamond"/>
          <w:lang w:eastAsia="en-US"/>
        </w:rPr>
        <w:t>that money damage</w:t>
      </w:r>
      <w:r w:rsidR="00E5514E">
        <w:rPr>
          <w:rFonts w:ascii="Garamond" w:eastAsiaTheme="minorHAnsi" w:hAnsi="Garamond"/>
          <w:lang w:eastAsia="en-US"/>
        </w:rPr>
        <w:t>s</w:t>
      </w:r>
      <w:r w:rsidR="002B45D1">
        <w:rPr>
          <w:rFonts w:ascii="Garamond" w:eastAsiaTheme="minorHAnsi" w:hAnsi="Garamond"/>
          <w:lang w:eastAsia="en-US"/>
        </w:rPr>
        <w:t xml:space="preserve"> cannot erase.</w:t>
      </w:r>
      <w:r w:rsidR="00A312BD" w:rsidRPr="00A312BD">
        <w:rPr>
          <w:rFonts w:ascii="Garamond" w:eastAsiaTheme="minorHAnsi" w:hAnsi="Garamond"/>
          <w:vertAlign w:val="superscript"/>
          <w:lang w:eastAsia="en-US"/>
        </w:rPr>
        <w:footnoteReference w:id="14"/>
      </w:r>
      <w:r w:rsidR="00A312BD" w:rsidRPr="00A312BD">
        <w:rPr>
          <w:rFonts w:ascii="Garamond" w:eastAsiaTheme="minorHAnsi" w:hAnsi="Garamond"/>
          <w:vertAlign w:val="superscript"/>
          <w:lang w:eastAsia="en-US"/>
        </w:rPr>
        <w:t xml:space="preserve"> </w:t>
      </w:r>
      <w:r w:rsidR="002B45D1">
        <w:rPr>
          <w:rFonts w:ascii="Garamond" w:eastAsiaTheme="minorHAnsi" w:hAnsi="Garamond"/>
          <w:lang w:eastAsia="en-US"/>
        </w:rPr>
        <w:t xml:space="preserve"> So, too, courts have </w:t>
      </w:r>
      <w:r w:rsidR="00610D71">
        <w:rPr>
          <w:rFonts w:ascii="Garamond" w:eastAsiaTheme="minorHAnsi" w:hAnsi="Garamond"/>
          <w:lang w:eastAsia="en-US"/>
        </w:rPr>
        <w:t>sometimes deployed punitive</w:t>
      </w:r>
      <w:r w:rsidR="002B45D1">
        <w:rPr>
          <w:rFonts w:ascii="Garamond" w:eastAsiaTheme="minorHAnsi" w:hAnsi="Garamond"/>
          <w:lang w:eastAsia="en-US"/>
        </w:rPr>
        <w:t xml:space="preserve"> damages </w:t>
      </w:r>
      <w:r w:rsidR="00683D58">
        <w:rPr>
          <w:rFonts w:ascii="Garamond" w:eastAsiaTheme="minorHAnsi" w:hAnsi="Garamond"/>
          <w:lang w:eastAsia="en-US"/>
        </w:rPr>
        <w:t xml:space="preserve">to discourage </w:t>
      </w:r>
      <w:r w:rsidR="002B45D1">
        <w:rPr>
          <w:rFonts w:ascii="Garamond" w:eastAsiaTheme="minorHAnsi" w:hAnsi="Garamond"/>
          <w:lang w:eastAsia="en-US"/>
        </w:rPr>
        <w:t xml:space="preserve">wrongful </w:t>
      </w:r>
      <w:r w:rsidR="00683D58">
        <w:rPr>
          <w:rFonts w:ascii="Garamond" w:eastAsiaTheme="minorHAnsi" w:hAnsi="Garamond"/>
          <w:lang w:eastAsia="en-US"/>
        </w:rPr>
        <w:t>conduct that risks and inflicts injury</w:t>
      </w:r>
      <w:r w:rsidR="002B45D1">
        <w:rPr>
          <w:rFonts w:ascii="Garamond" w:eastAsiaTheme="minorHAnsi" w:hAnsi="Garamond"/>
          <w:lang w:eastAsia="en-US"/>
        </w:rPr>
        <w:t xml:space="preserve"> beyond repair</w:t>
      </w:r>
      <w:r w:rsidR="001B1078">
        <w:rPr>
          <w:rFonts w:ascii="Garamond" w:eastAsiaTheme="minorHAnsi" w:hAnsi="Garamond"/>
          <w:lang w:eastAsia="en-US"/>
        </w:rPr>
        <w:t>.</w:t>
      </w:r>
      <w:r w:rsidR="00A312BD">
        <w:rPr>
          <w:rStyle w:val="FootnoteReference"/>
          <w:rFonts w:ascii="Garamond" w:eastAsiaTheme="minorHAnsi" w:hAnsi="Garamond"/>
          <w:lang w:eastAsia="en-US"/>
        </w:rPr>
        <w:footnoteReference w:id="15"/>
      </w:r>
      <w:r w:rsidR="00980784">
        <w:rPr>
          <w:rFonts w:ascii="Garamond" w:eastAsiaTheme="minorHAnsi" w:hAnsi="Garamond"/>
          <w:lang w:eastAsia="en-US"/>
        </w:rPr>
        <w:t xml:space="preserve"> These </w:t>
      </w:r>
      <w:r w:rsidR="001B1078">
        <w:rPr>
          <w:rFonts w:ascii="Garamond" w:eastAsiaTheme="minorHAnsi" w:hAnsi="Garamond"/>
          <w:lang w:eastAsia="en-US"/>
        </w:rPr>
        <w:t xml:space="preserve">agile and </w:t>
      </w:r>
      <w:r w:rsidR="002B45D1">
        <w:rPr>
          <w:rFonts w:ascii="Garamond" w:eastAsiaTheme="minorHAnsi" w:hAnsi="Garamond"/>
          <w:lang w:eastAsia="en-US"/>
        </w:rPr>
        <w:t xml:space="preserve">inventive uses </w:t>
      </w:r>
      <w:r w:rsidR="001B1078">
        <w:rPr>
          <w:rFonts w:ascii="Garamond" w:eastAsiaTheme="minorHAnsi" w:hAnsi="Garamond"/>
          <w:lang w:eastAsia="en-US"/>
        </w:rPr>
        <w:t xml:space="preserve">of damages </w:t>
      </w:r>
      <w:r w:rsidR="002B45D1">
        <w:rPr>
          <w:rFonts w:ascii="Garamond" w:eastAsiaTheme="minorHAnsi" w:hAnsi="Garamond"/>
          <w:lang w:eastAsia="en-US"/>
        </w:rPr>
        <w:t xml:space="preserve">are often justified and desirable, but their very existence underscores the </w:t>
      </w:r>
      <w:r w:rsidR="00610D71">
        <w:rPr>
          <w:rFonts w:ascii="Garamond" w:eastAsiaTheme="minorHAnsi" w:hAnsi="Garamond"/>
          <w:lang w:eastAsia="en-US"/>
        </w:rPr>
        <w:t xml:space="preserve">fact that reparation </w:t>
      </w:r>
      <w:r w:rsidR="002B45D1">
        <w:rPr>
          <w:rFonts w:ascii="Garamond" w:eastAsiaTheme="minorHAnsi" w:hAnsi="Garamond"/>
          <w:lang w:eastAsia="en-US"/>
        </w:rPr>
        <w:t xml:space="preserve">in tort </w:t>
      </w:r>
      <w:r w:rsidR="00610D71">
        <w:rPr>
          <w:rFonts w:ascii="Garamond" w:eastAsiaTheme="minorHAnsi" w:hAnsi="Garamond"/>
          <w:lang w:eastAsia="en-US"/>
        </w:rPr>
        <w:t xml:space="preserve">cannot </w:t>
      </w:r>
      <w:r w:rsidR="00A312BD">
        <w:rPr>
          <w:rFonts w:ascii="Garamond" w:eastAsiaTheme="minorHAnsi" w:hAnsi="Garamond"/>
          <w:lang w:eastAsia="en-US"/>
        </w:rPr>
        <w:t xml:space="preserve">undo </w:t>
      </w:r>
      <w:r w:rsidR="001B1078">
        <w:rPr>
          <w:rFonts w:ascii="Garamond" w:eastAsiaTheme="minorHAnsi" w:hAnsi="Garamond"/>
          <w:lang w:eastAsia="en-US"/>
        </w:rPr>
        <w:t xml:space="preserve">the </w:t>
      </w:r>
      <w:r w:rsidR="00A312BD">
        <w:rPr>
          <w:rFonts w:ascii="Garamond" w:eastAsiaTheme="minorHAnsi" w:hAnsi="Garamond"/>
          <w:lang w:eastAsia="en-US"/>
        </w:rPr>
        <w:t xml:space="preserve">devastating </w:t>
      </w:r>
      <w:r w:rsidR="001B1078">
        <w:rPr>
          <w:rFonts w:ascii="Garamond" w:eastAsiaTheme="minorHAnsi" w:hAnsi="Garamond"/>
          <w:lang w:eastAsia="en-US"/>
        </w:rPr>
        <w:t>effects of those tortiousl</w:t>
      </w:r>
      <w:r w:rsidR="00610D71">
        <w:rPr>
          <w:rFonts w:ascii="Garamond" w:eastAsiaTheme="minorHAnsi" w:hAnsi="Garamond"/>
          <w:lang w:eastAsia="en-US"/>
        </w:rPr>
        <w:t>y</w:t>
      </w:r>
      <w:r w:rsidR="001B1078">
        <w:rPr>
          <w:rFonts w:ascii="Garamond" w:eastAsiaTheme="minorHAnsi" w:hAnsi="Garamond"/>
          <w:lang w:eastAsia="en-US"/>
        </w:rPr>
        <w:t xml:space="preserve"> inflicted harms that we have most reason to fear.</w:t>
      </w:r>
    </w:p>
    <w:p w14:paraId="175D987B" w14:textId="780EF7B0" w:rsidR="00255809" w:rsidRPr="00802F4E" w:rsidRDefault="00610D71" w:rsidP="00EC12AB">
      <w:pPr>
        <w:spacing w:line="276" w:lineRule="auto"/>
        <w:jc w:val="both"/>
        <w:rPr>
          <w:rFonts w:ascii="Garamond" w:eastAsiaTheme="minorHAnsi" w:hAnsi="Garamond"/>
          <w:lang w:eastAsia="en-US"/>
        </w:rPr>
      </w:pPr>
      <w:r>
        <w:rPr>
          <w:rFonts w:ascii="Garamond" w:eastAsiaTheme="minorHAnsi" w:hAnsi="Garamond"/>
          <w:lang w:eastAsia="en-US"/>
        </w:rPr>
        <w:t xml:space="preserve">In principle, the inadequacy of </w:t>
      </w:r>
      <w:r w:rsidR="00283BFF" w:rsidRPr="00802F4E">
        <w:rPr>
          <w:rFonts w:ascii="Garamond" w:eastAsiaTheme="minorHAnsi" w:hAnsi="Garamond"/>
          <w:lang w:eastAsia="en-US"/>
        </w:rPr>
        <w:t xml:space="preserve">the legal remedy of money damages </w:t>
      </w:r>
      <w:r>
        <w:rPr>
          <w:rFonts w:ascii="Garamond" w:eastAsiaTheme="minorHAnsi" w:hAnsi="Garamond"/>
          <w:lang w:eastAsia="en-US"/>
        </w:rPr>
        <w:t xml:space="preserve">invites the application of </w:t>
      </w:r>
      <w:r w:rsidR="00283BFF" w:rsidRPr="00802F4E">
        <w:rPr>
          <w:rFonts w:ascii="Garamond" w:eastAsiaTheme="minorHAnsi" w:hAnsi="Garamond"/>
          <w:lang w:eastAsia="en-US"/>
        </w:rPr>
        <w:t>the equitable remedy of injunctive relief.</w:t>
      </w:r>
      <w:r w:rsidR="0037498D" w:rsidRPr="00802F4E">
        <w:rPr>
          <w:rFonts w:ascii="Garamond" w:eastAsiaTheme="minorHAnsi" w:hAnsi="Garamond"/>
          <w:lang w:eastAsia="en-US"/>
        </w:rPr>
        <w:t xml:space="preserve"> Unlike intentional wrongs, however, accidental wrongs cannot be enjoined. </w:t>
      </w:r>
      <w:r w:rsidR="00255809" w:rsidRPr="00802F4E">
        <w:rPr>
          <w:rFonts w:ascii="Garamond" w:eastAsiaTheme="minorHAnsi" w:hAnsi="Garamond"/>
          <w:lang w:eastAsia="en-US"/>
        </w:rPr>
        <w:t xml:space="preserve">Accidents arise out of the malfunction of agency, not out of its </w:t>
      </w:r>
      <w:r w:rsidR="00A312BD">
        <w:rPr>
          <w:rFonts w:ascii="Garamond" w:eastAsiaTheme="minorHAnsi" w:hAnsi="Garamond"/>
          <w:lang w:eastAsia="en-US"/>
        </w:rPr>
        <w:t xml:space="preserve">effective </w:t>
      </w:r>
      <w:r w:rsidR="00255809" w:rsidRPr="00802F4E">
        <w:rPr>
          <w:rFonts w:ascii="Garamond" w:eastAsiaTheme="minorHAnsi" w:hAnsi="Garamond"/>
          <w:lang w:eastAsia="en-US"/>
        </w:rPr>
        <w:t>exercise. Th</w:t>
      </w:r>
      <w:r w:rsidR="0037498D" w:rsidRPr="00802F4E">
        <w:rPr>
          <w:rFonts w:ascii="Garamond" w:eastAsiaTheme="minorHAnsi" w:hAnsi="Garamond"/>
          <w:lang w:eastAsia="en-US"/>
        </w:rPr>
        <w:t xml:space="preserve">e only way to prevent </w:t>
      </w:r>
      <w:r w:rsidR="007D3CAD" w:rsidRPr="00802F4E">
        <w:rPr>
          <w:rFonts w:ascii="Garamond" w:eastAsiaTheme="minorHAnsi" w:hAnsi="Garamond"/>
          <w:lang w:eastAsia="en-US"/>
        </w:rPr>
        <w:t xml:space="preserve">accidents </w:t>
      </w:r>
      <w:r w:rsidR="0037498D" w:rsidRPr="00802F4E">
        <w:rPr>
          <w:rFonts w:ascii="Garamond" w:eastAsiaTheme="minorHAnsi" w:hAnsi="Garamond"/>
          <w:lang w:eastAsia="en-US"/>
        </w:rPr>
        <w:t xml:space="preserve">is by enjoining the activities </w:t>
      </w:r>
      <w:r w:rsidR="00D37ACE" w:rsidRPr="00802F4E">
        <w:rPr>
          <w:rFonts w:ascii="Garamond" w:eastAsiaTheme="minorHAnsi" w:hAnsi="Garamond"/>
          <w:lang w:eastAsia="en-US"/>
        </w:rPr>
        <w:t xml:space="preserve">within </w:t>
      </w:r>
      <w:r w:rsidR="0037498D" w:rsidRPr="00802F4E">
        <w:rPr>
          <w:rFonts w:ascii="Garamond" w:eastAsiaTheme="minorHAnsi" w:hAnsi="Garamond"/>
          <w:lang w:eastAsia="en-US"/>
        </w:rPr>
        <w:t xml:space="preserve">which they arise. Mining accidents cannot be enjoined, but mining can be. And the same is true </w:t>
      </w:r>
      <w:r w:rsidR="006D3520" w:rsidRPr="00802F4E">
        <w:rPr>
          <w:rFonts w:ascii="Garamond" w:eastAsiaTheme="minorHAnsi" w:hAnsi="Garamond"/>
          <w:lang w:eastAsia="en-US"/>
        </w:rPr>
        <w:t xml:space="preserve">of </w:t>
      </w:r>
      <w:r w:rsidR="0037498D" w:rsidRPr="00802F4E">
        <w:rPr>
          <w:rFonts w:ascii="Garamond" w:eastAsiaTheme="minorHAnsi" w:hAnsi="Garamond"/>
          <w:lang w:eastAsia="en-US"/>
        </w:rPr>
        <w:t>manufacturing, milling, driving, flying</w:t>
      </w:r>
      <w:r w:rsidR="002A1F37" w:rsidRPr="00802F4E">
        <w:rPr>
          <w:rFonts w:ascii="Garamond" w:eastAsiaTheme="minorHAnsi" w:hAnsi="Garamond"/>
          <w:lang w:eastAsia="en-US"/>
        </w:rPr>
        <w:t xml:space="preserve">, </w:t>
      </w:r>
      <w:r w:rsidR="003F5CBC">
        <w:rPr>
          <w:rFonts w:ascii="Garamond" w:eastAsiaTheme="minorHAnsi" w:hAnsi="Garamond"/>
          <w:lang w:eastAsia="en-US"/>
        </w:rPr>
        <w:t xml:space="preserve">building, </w:t>
      </w:r>
      <w:r w:rsidR="002A1F37" w:rsidRPr="00802F4E">
        <w:rPr>
          <w:rFonts w:ascii="Garamond" w:eastAsiaTheme="minorHAnsi" w:hAnsi="Garamond"/>
          <w:lang w:eastAsia="en-US"/>
        </w:rPr>
        <w:t>blasting,</w:t>
      </w:r>
      <w:r w:rsidR="0037498D" w:rsidRPr="00802F4E">
        <w:rPr>
          <w:rFonts w:ascii="Garamond" w:eastAsiaTheme="minorHAnsi" w:hAnsi="Garamond"/>
          <w:lang w:eastAsia="en-US"/>
        </w:rPr>
        <w:t xml:space="preserve"> and an indefinitely long list of other risky activities. Enjoining </w:t>
      </w:r>
      <w:r w:rsidR="002A1F37" w:rsidRPr="00802F4E">
        <w:rPr>
          <w:rFonts w:ascii="Garamond" w:eastAsiaTheme="minorHAnsi" w:hAnsi="Garamond"/>
          <w:lang w:eastAsia="en-US"/>
        </w:rPr>
        <w:t>such acti</w:t>
      </w:r>
      <w:r w:rsidR="0037498D" w:rsidRPr="00802F4E">
        <w:rPr>
          <w:rFonts w:ascii="Garamond" w:eastAsiaTheme="minorHAnsi" w:hAnsi="Garamond"/>
          <w:lang w:eastAsia="en-US"/>
        </w:rPr>
        <w:t xml:space="preserve">vities, however, is a cure worse than the disease it treats. </w:t>
      </w:r>
      <w:r w:rsidR="00A312BD">
        <w:rPr>
          <w:rFonts w:ascii="Garamond" w:eastAsiaTheme="minorHAnsi" w:hAnsi="Garamond"/>
          <w:lang w:eastAsia="en-US"/>
        </w:rPr>
        <w:t xml:space="preserve">None of these </w:t>
      </w:r>
      <w:r w:rsidR="0037498D" w:rsidRPr="00802F4E">
        <w:rPr>
          <w:rFonts w:ascii="Garamond" w:eastAsiaTheme="minorHAnsi" w:hAnsi="Garamond"/>
          <w:lang w:eastAsia="en-US"/>
        </w:rPr>
        <w:t xml:space="preserve">activities are wrong in themselves. </w:t>
      </w:r>
      <w:r w:rsidR="003B7E3B" w:rsidRPr="00802F4E">
        <w:rPr>
          <w:rFonts w:ascii="Garamond" w:eastAsiaTheme="minorHAnsi" w:hAnsi="Garamond"/>
          <w:lang w:eastAsia="en-US"/>
        </w:rPr>
        <w:t xml:space="preserve">Their existence </w:t>
      </w:r>
      <w:r w:rsidR="002A1F37" w:rsidRPr="00802F4E">
        <w:rPr>
          <w:rFonts w:ascii="Garamond" w:eastAsiaTheme="minorHAnsi" w:hAnsi="Garamond"/>
          <w:lang w:eastAsia="en-US"/>
        </w:rPr>
        <w:t>is normally to everyone’s advantage. T</w:t>
      </w:r>
      <w:r w:rsidR="0037498D" w:rsidRPr="00802F4E">
        <w:rPr>
          <w:rFonts w:ascii="Garamond" w:eastAsiaTheme="minorHAnsi" w:hAnsi="Garamond"/>
          <w:lang w:eastAsia="en-US"/>
        </w:rPr>
        <w:t xml:space="preserve">ort law </w:t>
      </w:r>
      <w:r w:rsidR="002A1F37" w:rsidRPr="00802F4E">
        <w:rPr>
          <w:rFonts w:ascii="Garamond" w:eastAsiaTheme="minorHAnsi" w:hAnsi="Garamond"/>
          <w:lang w:eastAsia="en-US"/>
        </w:rPr>
        <w:t xml:space="preserve">must therefore </w:t>
      </w:r>
      <w:r w:rsidR="0037498D" w:rsidRPr="00802F4E">
        <w:rPr>
          <w:rFonts w:ascii="Garamond" w:eastAsiaTheme="minorHAnsi" w:hAnsi="Garamond"/>
          <w:lang w:eastAsia="en-US"/>
        </w:rPr>
        <w:t>make d</w:t>
      </w:r>
      <w:r w:rsidR="00255809" w:rsidRPr="00802F4E">
        <w:rPr>
          <w:rFonts w:ascii="Garamond" w:eastAsiaTheme="minorHAnsi" w:hAnsi="Garamond"/>
          <w:lang w:eastAsia="en-US"/>
        </w:rPr>
        <w:t>o</w:t>
      </w:r>
      <w:r w:rsidR="0037498D" w:rsidRPr="00802F4E">
        <w:rPr>
          <w:rFonts w:ascii="Garamond" w:eastAsiaTheme="minorHAnsi" w:hAnsi="Garamond"/>
          <w:lang w:eastAsia="en-US"/>
        </w:rPr>
        <w:t xml:space="preserve"> with money damages as its default and normal remedy, notwithstanding the </w:t>
      </w:r>
      <w:r w:rsidR="00255809" w:rsidRPr="00802F4E">
        <w:rPr>
          <w:rFonts w:ascii="Garamond" w:eastAsiaTheme="minorHAnsi" w:hAnsi="Garamond"/>
          <w:lang w:eastAsia="en-US"/>
        </w:rPr>
        <w:t xml:space="preserve">fact that money damages </w:t>
      </w:r>
      <w:r w:rsidR="004921C2">
        <w:rPr>
          <w:rFonts w:ascii="Garamond" w:eastAsiaTheme="minorHAnsi" w:hAnsi="Garamond"/>
          <w:lang w:eastAsia="en-US"/>
        </w:rPr>
        <w:t xml:space="preserve">will often be unable to restore </w:t>
      </w:r>
      <w:r w:rsidR="006D3520" w:rsidRPr="00802F4E">
        <w:rPr>
          <w:rFonts w:ascii="Garamond" w:eastAsiaTheme="minorHAnsi" w:hAnsi="Garamond"/>
          <w:lang w:eastAsia="en-US"/>
        </w:rPr>
        <w:t xml:space="preserve">wrongly injured victims </w:t>
      </w:r>
      <w:r w:rsidR="004921C2">
        <w:rPr>
          <w:rFonts w:ascii="Garamond" w:eastAsiaTheme="minorHAnsi" w:hAnsi="Garamond"/>
          <w:lang w:eastAsia="en-US"/>
        </w:rPr>
        <w:t xml:space="preserve">to </w:t>
      </w:r>
      <w:r w:rsidR="006D3520" w:rsidRPr="00802F4E">
        <w:rPr>
          <w:rFonts w:ascii="Garamond" w:eastAsiaTheme="minorHAnsi" w:hAnsi="Garamond"/>
          <w:lang w:eastAsia="en-US"/>
        </w:rPr>
        <w:t xml:space="preserve">the positions that they would otherwise have occupied. </w:t>
      </w:r>
    </w:p>
    <w:p w14:paraId="776C0F4E" w14:textId="76078375" w:rsidR="00544179" w:rsidRDefault="005A3225" w:rsidP="00124342">
      <w:pPr>
        <w:spacing w:line="276" w:lineRule="auto"/>
        <w:jc w:val="both"/>
        <w:rPr>
          <w:rFonts w:ascii="Garamond" w:eastAsiaTheme="minorHAnsi" w:hAnsi="Garamond"/>
          <w:lang w:eastAsia="en-US"/>
        </w:rPr>
      </w:pPr>
      <w:r>
        <w:rPr>
          <w:rFonts w:ascii="Garamond" w:eastAsiaTheme="minorHAnsi" w:hAnsi="Garamond"/>
          <w:lang w:eastAsia="en-US"/>
        </w:rPr>
        <w:t>The inability of tort damages to discharge fully the reparative role that the law assigns to them makes the law of torts an imperfect instrument of corrective justice</w:t>
      </w:r>
      <w:r w:rsidR="00A312BD">
        <w:rPr>
          <w:rFonts w:ascii="Garamond" w:eastAsiaTheme="minorHAnsi" w:hAnsi="Garamond"/>
          <w:lang w:eastAsia="en-US"/>
        </w:rPr>
        <w:t xml:space="preserve">, but it </w:t>
      </w:r>
      <w:r>
        <w:rPr>
          <w:rFonts w:ascii="Garamond" w:eastAsiaTheme="minorHAnsi" w:hAnsi="Garamond"/>
          <w:lang w:eastAsia="en-US"/>
        </w:rPr>
        <w:t xml:space="preserve">undercuts </w:t>
      </w:r>
      <w:r w:rsidR="002A1F37" w:rsidRPr="00802F4E">
        <w:rPr>
          <w:rFonts w:ascii="Garamond" w:eastAsiaTheme="minorHAnsi" w:hAnsi="Garamond"/>
          <w:lang w:eastAsia="en-US"/>
        </w:rPr>
        <w:t xml:space="preserve">the economic conception of tort as </w:t>
      </w:r>
      <w:r w:rsidR="0046508D" w:rsidRPr="00802F4E">
        <w:rPr>
          <w:rFonts w:ascii="Garamond" w:eastAsiaTheme="minorHAnsi" w:hAnsi="Garamond"/>
          <w:lang w:eastAsia="en-US"/>
        </w:rPr>
        <w:t xml:space="preserve">a </w:t>
      </w:r>
      <w:r w:rsidR="002A1F37" w:rsidRPr="00802F4E">
        <w:rPr>
          <w:rFonts w:ascii="Garamond" w:eastAsiaTheme="minorHAnsi" w:hAnsi="Garamond"/>
          <w:lang w:eastAsia="en-US"/>
        </w:rPr>
        <w:t>price system</w:t>
      </w:r>
      <w:r w:rsidR="00A312BD">
        <w:rPr>
          <w:rFonts w:ascii="Garamond" w:eastAsiaTheme="minorHAnsi" w:hAnsi="Garamond"/>
          <w:lang w:eastAsia="en-US"/>
        </w:rPr>
        <w:t xml:space="preserve"> even more sharply</w:t>
      </w:r>
      <w:r w:rsidR="00980784">
        <w:rPr>
          <w:rFonts w:ascii="Garamond" w:eastAsiaTheme="minorHAnsi" w:hAnsi="Garamond"/>
          <w:lang w:eastAsia="en-US"/>
        </w:rPr>
        <w:t xml:space="preserve">. </w:t>
      </w:r>
      <w:r w:rsidR="006B4506" w:rsidRPr="006B4506">
        <w:rPr>
          <w:rFonts w:ascii="Garamond" w:eastAsiaTheme="minorHAnsi" w:hAnsi="Garamond"/>
          <w:lang w:eastAsia="en-US"/>
        </w:rPr>
        <w:t xml:space="preserve">“For the </w:t>
      </w:r>
      <w:r w:rsidR="0009207C">
        <w:rPr>
          <w:rFonts w:ascii="Garamond" w:eastAsiaTheme="minorHAnsi" w:hAnsi="Garamond"/>
          <w:lang w:eastAsia="en-US"/>
        </w:rPr>
        <w:t>[tort]</w:t>
      </w:r>
      <w:r w:rsidR="006B4506" w:rsidRPr="006B4506">
        <w:rPr>
          <w:rFonts w:ascii="Garamond" w:eastAsiaTheme="minorHAnsi" w:hAnsi="Garamond"/>
          <w:lang w:eastAsia="en-US"/>
        </w:rPr>
        <w:t xml:space="preserve"> system to bring about an efficient level of accidents and safety the damage awards must be equal to the costs of accidents </w:t>
      </w:r>
      <w:r w:rsidR="006B4506" w:rsidRPr="006B4506">
        <w:rPr>
          <w:rFonts w:ascii="Garamond" w:eastAsiaTheme="minorHAnsi" w:hAnsi="Garamond"/>
          <w:lang w:eastAsia="en-US"/>
        </w:rPr>
        <w:lastRenderedPageBreak/>
        <w:t>resulting from negligent conduct.”</w:t>
      </w:r>
      <w:r w:rsidR="006B4506">
        <w:rPr>
          <w:rStyle w:val="FootnoteReference"/>
          <w:rFonts w:ascii="Garamond" w:eastAsiaTheme="minorHAnsi" w:hAnsi="Garamond"/>
          <w:lang w:eastAsia="en-US"/>
        </w:rPr>
        <w:footnoteReference w:id="16"/>
      </w:r>
      <w:r w:rsidR="006B4506">
        <w:rPr>
          <w:rFonts w:ascii="Garamond" w:eastAsiaTheme="minorHAnsi" w:hAnsi="Garamond"/>
          <w:lang w:eastAsia="en-US"/>
        </w:rPr>
        <w:t xml:space="preserve"> </w:t>
      </w:r>
      <w:r w:rsidR="00A312BD">
        <w:rPr>
          <w:rFonts w:ascii="Garamond" w:eastAsiaTheme="minorHAnsi" w:hAnsi="Garamond"/>
          <w:lang w:eastAsia="en-US"/>
        </w:rPr>
        <w:t>Because money damages cannot erase serious harm</w:t>
      </w:r>
      <w:r w:rsidR="006B4506">
        <w:rPr>
          <w:rFonts w:ascii="Garamond" w:eastAsiaTheme="minorHAnsi" w:hAnsi="Garamond"/>
          <w:lang w:eastAsia="en-US"/>
        </w:rPr>
        <w:t>—and do not price the value to the dead victim of the life that they have lost—</w:t>
      </w:r>
      <w:r w:rsidR="00045C08" w:rsidRPr="00802F4E">
        <w:rPr>
          <w:rFonts w:ascii="Garamond" w:eastAsiaTheme="minorHAnsi" w:hAnsi="Garamond"/>
          <w:lang w:eastAsia="en-US"/>
        </w:rPr>
        <w:t>“the secondary obligation to pay compensatory damages is not fully interchangeable with the primary obligation to exercise reasonable care.”</w:t>
      </w:r>
      <w:r w:rsidR="00045C08" w:rsidRPr="005431CA">
        <w:rPr>
          <w:rFonts w:ascii="Garamond" w:eastAsiaTheme="minorHAnsi" w:hAnsi="Garamond"/>
          <w:vertAlign w:val="superscript"/>
          <w:lang w:eastAsia="en-US"/>
        </w:rPr>
        <w:footnoteReference w:id="17"/>
      </w:r>
      <w:r w:rsidR="00045C08" w:rsidRPr="00802F4E">
        <w:rPr>
          <w:rFonts w:ascii="Garamond" w:eastAsiaTheme="minorHAnsi" w:hAnsi="Garamond"/>
          <w:lang w:eastAsia="en-US"/>
        </w:rPr>
        <w:t xml:space="preserve"> </w:t>
      </w:r>
      <w:r w:rsidR="00054D91">
        <w:rPr>
          <w:rFonts w:ascii="Garamond" w:eastAsiaTheme="minorHAnsi" w:hAnsi="Garamond"/>
          <w:lang w:eastAsia="en-US"/>
        </w:rPr>
        <w:t xml:space="preserve">A </w:t>
      </w:r>
      <w:r w:rsidR="00045C08" w:rsidRPr="00802F4E">
        <w:rPr>
          <w:rFonts w:ascii="Garamond" w:eastAsiaTheme="minorHAnsi" w:hAnsi="Garamond"/>
          <w:lang w:eastAsia="en-US"/>
        </w:rPr>
        <w:t>would</w:t>
      </w:r>
      <w:r w:rsidR="00E5514E">
        <w:rPr>
          <w:rFonts w:ascii="Garamond" w:eastAsiaTheme="minorHAnsi" w:hAnsi="Garamond"/>
          <w:lang w:eastAsia="en-US"/>
        </w:rPr>
        <w:t>-</w:t>
      </w:r>
      <w:r w:rsidR="00045C08" w:rsidRPr="00802F4E">
        <w:rPr>
          <w:rFonts w:ascii="Garamond" w:eastAsiaTheme="minorHAnsi" w:hAnsi="Garamond"/>
          <w:lang w:eastAsia="en-US"/>
        </w:rPr>
        <w:t>be tortfeasor “cannot unilaterally choose to pay compensatory damages in exchange for acting unreasonably</w:t>
      </w:r>
      <w:r w:rsidR="00E5514E">
        <w:rPr>
          <w:rFonts w:ascii="Garamond" w:eastAsiaTheme="minorHAnsi" w:hAnsi="Garamond"/>
          <w:lang w:eastAsia="en-US"/>
        </w:rPr>
        <w:t>.</w:t>
      </w:r>
      <w:r w:rsidR="00045C08" w:rsidRPr="00802F4E">
        <w:rPr>
          <w:rFonts w:ascii="Garamond" w:eastAsiaTheme="minorHAnsi" w:hAnsi="Garamond"/>
          <w:lang w:eastAsia="en-US"/>
        </w:rPr>
        <w:t>”</w:t>
      </w:r>
      <w:r w:rsidR="00A0609B" w:rsidRPr="005431CA">
        <w:rPr>
          <w:rFonts w:ascii="Garamond" w:eastAsiaTheme="minorHAnsi" w:hAnsi="Garamond"/>
          <w:vertAlign w:val="superscript"/>
          <w:lang w:eastAsia="en-US"/>
        </w:rPr>
        <w:footnoteReference w:id="18"/>
      </w:r>
      <w:r w:rsidR="00045C08" w:rsidRPr="005431CA">
        <w:rPr>
          <w:rFonts w:ascii="Garamond" w:eastAsiaTheme="minorHAnsi" w:hAnsi="Garamond"/>
          <w:vertAlign w:val="superscript"/>
          <w:lang w:eastAsia="en-US"/>
        </w:rPr>
        <w:t xml:space="preserve"> </w:t>
      </w:r>
      <w:r w:rsidR="00054D91">
        <w:rPr>
          <w:rFonts w:ascii="Garamond" w:eastAsiaTheme="minorHAnsi" w:hAnsi="Garamond"/>
          <w:lang w:eastAsia="en-US"/>
        </w:rPr>
        <w:t xml:space="preserve"> From an economic perspective, the fact that compliance with a secondary duty of harm repair is not a perfect substitute for compliance with a primary duty of harm</w:t>
      </w:r>
      <w:r w:rsidR="00E5514E">
        <w:rPr>
          <w:rFonts w:ascii="Garamond" w:eastAsiaTheme="minorHAnsi" w:hAnsi="Garamond"/>
          <w:lang w:eastAsia="en-US"/>
        </w:rPr>
        <w:t xml:space="preserve"> </w:t>
      </w:r>
      <w:r w:rsidR="00054D91">
        <w:rPr>
          <w:rFonts w:ascii="Garamond" w:eastAsiaTheme="minorHAnsi" w:hAnsi="Garamond"/>
          <w:lang w:eastAsia="en-US"/>
        </w:rPr>
        <w:t xml:space="preserve">avoidance </w:t>
      </w:r>
      <w:r w:rsidR="00BD0E50">
        <w:rPr>
          <w:rFonts w:ascii="Garamond" w:eastAsiaTheme="minorHAnsi" w:hAnsi="Garamond"/>
          <w:lang w:eastAsia="en-US"/>
        </w:rPr>
        <w:t xml:space="preserve">shows </w:t>
      </w:r>
      <w:r w:rsidR="00054D91">
        <w:rPr>
          <w:rFonts w:ascii="Garamond" w:eastAsiaTheme="minorHAnsi" w:hAnsi="Garamond"/>
          <w:lang w:eastAsia="en-US"/>
        </w:rPr>
        <w:t xml:space="preserve">that tort damages are not </w:t>
      </w:r>
      <w:r w:rsidR="00855C48">
        <w:rPr>
          <w:rFonts w:ascii="Garamond" w:eastAsiaTheme="minorHAnsi" w:hAnsi="Garamond"/>
          <w:lang w:eastAsia="en-US"/>
        </w:rPr>
        <w:t xml:space="preserve">well-calibrated </w:t>
      </w:r>
      <w:r w:rsidR="00124342">
        <w:rPr>
          <w:rFonts w:ascii="Garamond" w:eastAsiaTheme="minorHAnsi" w:hAnsi="Garamond"/>
          <w:lang w:eastAsia="en-US"/>
        </w:rPr>
        <w:t xml:space="preserve">prices </w:t>
      </w:r>
      <w:r w:rsidR="00544179">
        <w:rPr>
          <w:rFonts w:ascii="Garamond" w:eastAsiaTheme="minorHAnsi" w:hAnsi="Garamond"/>
          <w:lang w:eastAsia="en-US"/>
        </w:rPr>
        <w:t xml:space="preserve">coughed up by an efficient market. </w:t>
      </w:r>
      <w:r w:rsidR="00855C48">
        <w:rPr>
          <w:rFonts w:ascii="Garamond" w:eastAsiaTheme="minorHAnsi" w:hAnsi="Garamond"/>
          <w:lang w:eastAsia="en-US"/>
        </w:rPr>
        <w:t>Tort d</w:t>
      </w:r>
      <w:r w:rsidR="00BD0E50">
        <w:rPr>
          <w:rFonts w:ascii="Garamond" w:eastAsiaTheme="minorHAnsi" w:hAnsi="Garamond"/>
          <w:lang w:eastAsia="en-US"/>
        </w:rPr>
        <w:t>a</w:t>
      </w:r>
      <w:r w:rsidR="00855C48">
        <w:rPr>
          <w:rFonts w:ascii="Garamond" w:eastAsiaTheme="minorHAnsi" w:hAnsi="Garamond"/>
          <w:lang w:eastAsia="en-US"/>
        </w:rPr>
        <w:t>mages do not price serious</w:t>
      </w:r>
      <w:r w:rsidR="00BD0E50">
        <w:rPr>
          <w:rFonts w:ascii="Garamond" w:eastAsiaTheme="minorHAnsi" w:hAnsi="Garamond"/>
          <w:lang w:eastAsia="en-US"/>
        </w:rPr>
        <w:t xml:space="preserve"> physical</w:t>
      </w:r>
      <w:r w:rsidR="00855C48">
        <w:rPr>
          <w:rFonts w:ascii="Garamond" w:eastAsiaTheme="minorHAnsi" w:hAnsi="Garamond"/>
          <w:lang w:eastAsia="en-US"/>
        </w:rPr>
        <w:t xml:space="preserve"> harms properly </w:t>
      </w:r>
      <w:r w:rsidR="00544179">
        <w:rPr>
          <w:rFonts w:ascii="Garamond" w:eastAsiaTheme="minorHAnsi" w:hAnsi="Garamond"/>
          <w:lang w:eastAsia="en-US"/>
        </w:rPr>
        <w:t xml:space="preserve">for the simple reason that </w:t>
      </w:r>
      <w:r w:rsidR="00BD0E50">
        <w:rPr>
          <w:rFonts w:ascii="Garamond" w:eastAsiaTheme="minorHAnsi" w:hAnsi="Garamond"/>
          <w:lang w:eastAsia="en-US"/>
        </w:rPr>
        <w:t>no amount of compensation can fully repair such harms. Tort law is therefore a</w:t>
      </w:r>
      <w:r w:rsidR="00544179">
        <w:rPr>
          <w:rFonts w:ascii="Garamond" w:eastAsiaTheme="minorHAnsi" w:hAnsi="Garamond"/>
          <w:lang w:eastAsia="en-US"/>
        </w:rPr>
        <w:t xml:space="preserve"> flawed </w:t>
      </w:r>
      <w:r w:rsidR="00BD0E50">
        <w:rPr>
          <w:rFonts w:ascii="Garamond" w:eastAsiaTheme="minorHAnsi" w:hAnsi="Garamond"/>
          <w:lang w:eastAsia="en-US"/>
        </w:rPr>
        <w:t>price system</w:t>
      </w:r>
      <w:r w:rsidR="00544179">
        <w:rPr>
          <w:rFonts w:ascii="Garamond" w:eastAsiaTheme="minorHAnsi" w:hAnsi="Garamond"/>
          <w:lang w:eastAsia="en-US"/>
        </w:rPr>
        <w:t xml:space="preserve">. Furthermore, tort’s </w:t>
      </w:r>
      <w:r w:rsidR="00BD0E50">
        <w:rPr>
          <w:rFonts w:ascii="Garamond" w:eastAsiaTheme="minorHAnsi" w:hAnsi="Garamond"/>
          <w:lang w:eastAsia="en-US"/>
        </w:rPr>
        <w:t xml:space="preserve">failings as a price system </w:t>
      </w:r>
      <w:r w:rsidR="00736CAA">
        <w:rPr>
          <w:rFonts w:ascii="Garamond" w:eastAsiaTheme="minorHAnsi" w:hAnsi="Garamond"/>
          <w:lang w:eastAsia="en-US"/>
        </w:rPr>
        <w:t xml:space="preserve">increase in lockstep with the seriousness of the harms that it confronts. </w:t>
      </w:r>
      <w:r w:rsidR="00855C48">
        <w:rPr>
          <w:rFonts w:ascii="Garamond" w:eastAsiaTheme="minorHAnsi" w:hAnsi="Garamond"/>
          <w:lang w:eastAsia="en-US"/>
        </w:rPr>
        <w:t xml:space="preserve">Tort law’s forward-looking powers of deterrence are most </w:t>
      </w:r>
      <w:r w:rsidR="00BD0E50">
        <w:rPr>
          <w:rFonts w:ascii="Garamond" w:eastAsiaTheme="minorHAnsi" w:hAnsi="Garamond"/>
          <w:lang w:eastAsia="en-US"/>
        </w:rPr>
        <w:t xml:space="preserve">impaired </w:t>
      </w:r>
      <w:r w:rsidR="00855C48">
        <w:rPr>
          <w:rFonts w:ascii="Garamond" w:eastAsiaTheme="minorHAnsi" w:hAnsi="Garamond"/>
          <w:lang w:eastAsia="en-US"/>
        </w:rPr>
        <w:t xml:space="preserve">when our interest in deterrence is most </w:t>
      </w:r>
      <w:r w:rsidR="00BD0E50">
        <w:rPr>
          <w:rFonts w:ascii="Garamond" w:eastAsiaTheme="minorHAnsi" w:hAnsi="Garamond"/>
          <w:lang w:eastAsia="en-US"/>
        </w:rPr>
        <w:t>intense</w:t>
      </w:r>
      <w:r w:rsidR="00855C48">
        <w:rPr>
          <w:rFonts w:ascii="Garamond" w:eastAsiaTheme="minorHAnsi" w:hAnsi="Garamond"/>
          <w:lang w:eastAsia="en-US"/>
        </w:rPr>
        <w:t>—when harms threaten death</w:t>
      </w:r>
      <w:r w:rsidR="004921C2">
        <w:rPr>
          <w:rFonts w:ascii="Garamond" w:eastAsiaTheme="minorHAnsi" w:hAnsi="Garamond"/>
          <w:lang w:eastAsia="en-US"/>
        </w:rPr>
        <w:t>,</w:t>
      </w:r>
      <w:r w:rsidR="00855C48">
        <w:rPr>
          <w:rFonts w:ascii="Garamond" w:eastAsiaTheme="minorHAnsi" w:hAnsi="Garamond"/>
          <w:lang w:eastAsia="en-US"/>
        </w:rPr>
        <w:t xml:space="preserve"> or permanent, severe disability</w:t>
      </w:r>
      <w:r w:rsidR="00544179">
        <w:rPr>
          <w:rFonts w:ascii="Garamond" w:eastAsiaTheme="minorHAnsi" w:hAnsi="Garamond"/>
          <w:lang w:eastAsia="en-US"/>
        </w:rPr>
        <w:t>.</w:t>
      </w:r>
      <w:r w:rsidR="00855C48">
        <w:rPr>
          <w:rFonts w:ascii="Garamond" w:eastAsiaTheme="minorHAnsi" w:hAnsi="Garamond"/>
          <w:lang w:eastAsia="en-US"/>
        </w:rPr>
        <w:t xml:space="preserve"> </w:t>
      </w:r>
      <w:r w:rsidR="004E53FB">
        <w:rPr>
          <w:rFonts w:ascii="Garamond" w:eastAsiaTheme="minorHAnsi" w:hAnsi="Garamond"/>
          <w:lang w:eastAsia="en-US"/>
        </w:rPr>
        <w:t xml:space="preserve">When injuries cannot be repaired, we have all the more reason to avoid them. </w:t>
      </w:r>
    </w:p>
    <w:p w14:paraId="0C63B814" w14:textId="766AD536" w:rsidR="003A2FD4" w:rsidRDefault="00544179" w:rsidP="00124342">
      <w:pPr>
        <w:spacing w:line="276" w:lineRule="auto"/>
        <w:jc w:val="both"/>
        <w:rPr>
          <w:rFonts w:asciiTheme="minorHAnsi" w:hAnsiTheme="minorHAnsi"/>
        </w:rPr>
      </w:pPr>
      <w:r>
        <w:rPr>
          <w:rFonts w:ascii="Garamond" w:eastAsiaTheme="minorHAnsi" w:hAnsi="Garamond"/>
          <w:lang w:eastAsia="en-US"/>
        </w:rPr>
        <w:t xml:space="preserve">The history of the law of damages for wrongful death </w:t>
      </w:r>
      <w:r w:rsidR="00736CAA">
        <w:rPr>
          <w:rFonts w:ascii="Garamond" w:eastAsiaTheme="minorHAnsi" w:hAnsi="Garamond"/>
          <w:lang w:eastAsia="en-US"/>
        </w:rPr>
        <w:t xml:space="preserve">teaches </w:t>
      </w:r>
      <w:r>
        <w:rPr>
          <w:rFonts w:ascii="Garamond" w:eastAsiaTheme="minorHAnsi" w:hAnsi="Garamond"/>
          <w:lang w:eastAsia="en-US"/>
        </w:rPr>
        <w:t xml:space="preserve">that these </w:t>
      </w:r>
      <w:r w:rsidR="00736CAA">
        <w:rPr>
          <w:rFonts w:ascii="Garamond" w:eastAsiaTheme="minorHAnsi" w:hAnsi="Garamond"/>
          <w:lang w:eastAsia="en-US"/>
        </w:rPr>
        <w:t xml:space="preserve">shortcomings are as acute in practice as they are in theory. </w:t>
      </w:r>
      <w:r>
        <w:rPr>
          <w:rFonts w:ascii="Garamond" w:eastAsiaTheme="minorHAnsi" w:hAnsi="Garamond"/>
          <w:lang w:eastAsia="en-US"/>
        </w:rPr>
        <w:t>Th</w:t>
      </w:r>
      <w:r w:rsidR="004E53FB">
        <w:rPr>
          <w:rFonts w:ascii="Garamond" w:eastAsiaTheme="minorHAnsi" w:hAnsi="Garamond"/>
          <w:lang w:eastAsia="en-US"/>
        </w:rPr>
        <w:t xml:space="preserve">at history </w:t>
      </w:r>
      <w:r>
        <w:rPr>
          <w:rFonts w:ascii="Garamond" w:eastAsiaTheme="minorHAnsi" w:hAnsi="Garamond"/>
          <w:lang w:eastAsia="en-US"/>
        </w:rPr>
        <w:t xml:space="preserve">shows that </w:t>
      </w:r>
      <w:r w:rsidR="001146F7">
        <w:rPr>
          <w:rFonts w:asciiTheme="minorHAnsi" w:hAnsiTheme="minorHAnsi"/>
        </w:rPr>
        <w:t>tort damages can be towed away from their reparative anchor only so far</w:t>
      </w:r>
      <w:r w:rsidR="00535E23">
        <w:rPr>
          <w:rFonts w:asciiTheme="minorHAnsi" w:hAnsiTheme="minorHAnsi"/>
        </w:rPr>
        <w:t xml:space="preserve"> a</w:t>
      </w:r>
      <w:r w:rsidR="00736CAA">
        <w:rPr>
          <w:rFonts w:asciiTheme="minorHAnsi" w:hAnsiTheme="minorHAnsi"/>
        </w:rPr>
        <w:t xml:space="preserve">nd that the </w:t>
      </w:r>
      <w:r w:rsidR="004921C2">
        <w:rPr>
          <w:rFonts w:asciiTheme="minorHAnsi" w:hAnsiTheme="minorHAnsi"/>
        </w:rPr>
        <w:t xml:space="preserve">damage awards are all but powerless when the harm at issue is </w:t>
      </w:r>
      <w:r w:rsidR="00736CAA">
        <w:rPr>
          <w:rFonts w:asciiTheme="minorHAnsi" w:hAnsiTheme="minorHAnsi"/>
        </w:rPr>
        <w:t xml:space="preserve">premature death—the harm we most fear. </w:t>
      </w:r>
      <w:r w:rsidR="00F027F5">
        <w:rPr>
          <w:rFonts w:asciiTheme="minorHAnsi" w:hAnsiTheme="minorHAnsi"/>
        </w:rPr>
        <w:t xml:space="preserve">The harm of death is total and beyond any repair. </w:t>
      </w:r>
      <w:r w:rsidR="0030329A">
        <w:rPr>
          <w:rFonts w:asciiTheme="minorHAnsi" w:hAnsiTheme="minorHAnsi"/>
        </w:rPr>
        <w:t>Yet for that very reason</w:t>
      </w:r>
      <w:r w:rsidR="00E23F00">
        <w:rPr>
          <w:rFonts w:asciiTheme="minorHAnsi" w:hAnsiTheme="minorHAnsi"/>
        </w:rPr>
        <w:t>,</w:t>
      </w:r>
      <w:r w:rsidR="0030329A">
        <w:rPr>
          <w:rFonts w:asciiTheme="minorHAnsi" w:hAnsiTheme="minorHAnsi"/>
        </w:rPr>
        <w:t xml:space="preserve"> the law of torts is </w:t>
      </w:r>
      <w:r w:rsidR="00D05F6C">
        <w:rPr>
          <w:rFonts w:asciiTheme="minorHAnsi" w:hAnsiTheme="minorHAnsi"/>
        </w:rPr>
        <w:t xml:space="preserve">simply at a loss </w:t>
      </w:r>
      <w:r w:rsidR="0030329A">
        <w:rPr>
          <w:rFonts w:asciiTheme="minorHAnsi" w:hAnsiTheme="minorHAnsi"/>
        </w:rPr>
        <w:t xml:space="preserve">when wrongful death is the harm inflicted. </w:t>
      </w:r>
      <w:r w:rsidR="00D641C7">
        <w:rPr>
          <w:rFonts w:asciiTheme="minorHAnsi" w:hAnsiTheme="minorHAnsi"/>
        </w:rPr>
        <w:t xml:space="preserve">The common law of torts has been under no illusions on this score. </w:t>
      </w:r>
      <w:r w:rsidR="0030329A">
        <w:rPr>
          <w:rFonts w:asciiTheme="minorHAnsi" w:hAnsiTheme="minorHAnsi"/>
        </w:rPr>
        <w:t>“</w:t>
      </w:r>
      <w:r w:rsidR="00D641C7">
        <w:rPr>
          <w:rFonts w:asciiTheme="minorHAnsi" w:hAnsiTheme="minorHAnsi"/>
        </w:rPr>
        <w:t>T</w:t>
      </w:r>
      <w:r w:rsidR="0030329A">
        <w:rPr>
          <w:rFonts w:asciiTheme="minorHAnsi" w:hAnsiTheme="minorHAnsi"/>
        </w:rPr>
        <w:t>he effect to be given the death of a person connected with a tort rests almost entirely upon statutory foundations.”</w:t>
      </w:r>
      <w:r w:rsidR="0030329A">
        <w:rPr>
          <w:rStyle w:val="FootnoteReference"/>
          <w:rFonts w:asciiTheme="minorHAnsi" w:hAnsiTheme="minorHAnsi"/>
        </w:rPr>
        <w:footnoteReference w:id="19"/>
      </w:r>
      <w:r w:rsidR="0030329A">
        <w:rPr>
          <w:rFonts w:asciiTheme="minorHAnsi" w:hAnsiTheme="minorHAnsi"/>
        </w:rPr>
        <w:t xml:space="preserve"> </w:t>
      </w:r>
      <w:r w:rsidR="00D641C7">
        <w:rPr>
          <w:rFonts w:asciiTheme="minorHAnsi" w:hAnsiTheme="minorHAnsi"/>
        </w:rPr>
        <w:t>E</w:t>
      </w:r>
      <w:r w:rsidR="003A2FD4" w:rsidRPr="003A2FD4">
        <w:rPr>
          <w:rFonts w:asciiTheme="minorHAnsi" w:hAnsiTheme="minorHAnsi"/>
        </w:rPr>
        <w:t xml:space="preserve">ven today, after </w:t>
      </w:r>
      <w:r w:rsidR="005431CA">
        <w:rPr>
          <w:rFonts w:asciiTheme="minorHAnsi" w:hAnsiTheme="minorHAnsi"/>
        </w:rPr>
        <w:t xml:space="preserve">close to two </w:t>
      </w:r>
      <w:r w:rsidR="003A2FD4" w:rsidRPr="003A2FD4">
        <w:rPr>
          <w:rFonts w:asciiTheme="minorHAnsi" w:hAnsiTheme="minorHAnsi"/>
        </w:rPr>
        <w:t xml:space="preserve">centuries of </w:t>
      </w:r>
      <w:r w:rsidR="00736CAA">
        <w:rPr>
          <w:rFonts w:asciiTheme="minorHAnsi" w:hAnsiTheme="minorHAnsi"/>
        </w:rPr>
        <w:t xml:space="preserve">statutory and judicial </w:t>
      </w:r>
      <w:r w:rsidR="003A2FD4" w:rsidRPr="003A2FD4">
        <w:rPr>
          <w:rFonts w:asciiTheme="minorHAnsi" w:hAnsiTheme="minorHAnsi"/>
        </w:rPr>
        <w:t xml:space="preserve">expansion of liability for wrongful death, a defendant whose tortious conduct fatally injures someone else is not liable for damages </w:t>
      </w:r>
      <w:r w:rsidR="004921C2">
        <w:rPr>
          <w:rFonts w:asciiTheme="minorHAnsi" w:hAnsiTheme="minorHAnsi"/>
        </w:rPr>
        <w:t>compensating the victim</w:t>
      </w:r>
      <w:r w:rsidR="003A2FD4" w:rsidRPr="003A2FD4">
        <w:rPr>
          <w:rFonts w:asciiTheme="minorHAnsi" w:hAnsiTheme="minorHAnsi"/>
        </w:rPr>
        <w:t xml:space="preserve"> </w:t>
      </w:r>
      <w:r w:rsidR="004921C2">
        <w:rPr>
          <w:rFonts w:asciiTheme="minorHAnsi" w:hAnsiTheme="minorHAnsi"/>
        </w:rPr>
        <w:t xml:space="preserve">for </w:t>
      </w:r>
      <w:r w:rsidR="003A2FD4" w:rsidRPr="003A2FD4">
        <w:rPr>
          <w:rFonts w:asciiTheme="minorHAnsi" w:hAnsiTheme="minorHAnsi"/>
        </w:rPr>
        <w:t xml:space="preserve">the value </w:t>
      </w:r>
      <w:r w:rsidR="003A2FD4" w:rsidRPr="003A2FD4">
        <w:rPr>
          <w:rFonts w:asciiTheme="minorHAnsi" w:hAnsiTheme="minorHAnsi"/>
          <w:i/>
          <w:iCs/>
        </w:rPr>
        <w:t>to the</w:t>
      </w:r>
      <w:r w:rsidR="004921C2">
        <w:rPr>
          <w:rFonts w:asciiTheme="minorHAnsi" w:hAnsiTheme="minorHAnsi"/>
          <w:i/>
          <w:iCs/>
        </w:rPr>
        <w:t xml:space="preserve">m </w:t>
      </w:r>
      <w:r w:rsidR="003A2FD4" w:rsidRPr="003A2FD4">
        <w:rPr>
          <w:rFonts w:asciiTheme="minorHAnsi" w:hAnsiTheme="minorHAnsi"/>
        </w:rPr>
        <w:t>of the life that the</w:t>
      </w:r>
      <w:r w:rsidR="004921C2">
        <w:rPr>
          <w:rFonts w:asciiTheme="minorHAnsi" w:hAnsiTheme="minorHAnsi"/>
        </w:rPr>
        <w:t xml:space="preserve">y have </w:t>
      </w:r>
      <w:r w:rsidR="003A2FD4" w:rsidRPr="003A2FD4">
        <w:rPr>
          <w:rFonts w:asciiTheme="minorHAnsi" w:hAnsiTheme="minorHAnsi"/>
        </w:rPr>
        <w:t>lost</w:t>
      </w:r>
      <w:r w:rsidR="005F7684">
        <w:rPr>
          <w:rFonts w:asciiTheme="minorHAnsi" w:hAnsiTheme="minorHAnsi"/>
        </w:rPr>
        <w:t>.</w:t>
      </w:r>
      <w:r w:rsidR="005F7684" w:rsidRPr="005F7684">
        <w:rPr>
          <w:rFonts w:asciiTheme="minorHAnsi" w:hAnsiTheme="minorHAnsi"/>
          <w:vertAlign w:val="superscript"/>
        </w:rPr>
        <w:footnoteReference w:id="20"/>
      </w:r>
      <w:r w:rsidR="003A2FD4" w:rsidRPr="003A2FD4">
        <w:rPr>
          <w:rFonts w:asciiTheme="minorHAnsi" w:hAnsiTheme="minorHAnsi"/>
        </w:rPr>
        <w:t xml:space="preserve"> The core harm </w:t>
      </w:r>
      <w:r w:rsidR="00D641C7">
        <w:rPr>
          <w:rFonts w:asciiTheme="minorHAnsi" w:hAnsiTheme="minorHAnsi"/>
        </w:rPr>
        <w:t xml:space="preserve">done by death </w:t>
      </w:r>
      <w:r w:rsidR="003A2FD4" w:rsidRPr="003A2FD4">
        <w:rPr>
          <w:rFonts w:asciiTheme="minorHAnsi" w:hAnsiTheme="minorHAnsi"/>
        </w:rPr>
        <w:t>goes uncompensated because it is beyond compensation. Nothing will restore a dead victim to the position that the</w:t>
      </w:r>
      <w:r w:rsidR="00D641C7">
        <w:rPr>
          <w:rFonts w:asciiTheme="minorHAnsi" w:hAnsiTheme="minorHAnsi"/>
        </w:rPr>
        <w:t>y</w:t>
      </w:r>
      <w:r w:rsidR="003A2FD4" w:rsidRPr="003A2FD4">
        <w:rPr>
          <w:rFonts w:asciiTheme="minorHAnsi" w:hAnsiTheme="minorHAnsi"/>
        </w:rPr>
        <w:t xml:space="preserve"> occupied prior to their death.</w:t>
      </w:r>
    </w:p>
    <w:p w14:paraId="79A9799B" w14:textId="3F7D24EF" w:rsidR="00136B7C" w:rsidRDefault="003A2FD4" w:rsidP="00EC12AB">
      <w:pPr>
        <w:jc w:val="both"/>
        <w:rPr>
          <w:rFonts w:asciiTheme="minorHAnsi" w:hAnsiTheme="minorHAnsi"/>
        </w:rPr>
      </w:pPr>
      <w:r>
        <w:rPr>
          <w:rFonts w:asciiTheme="minorHAnsi" w:hAnsiTheme="minorHAnsi"/>
        </w:rPr>
        <w:lastRenderedPageBreak/>
        <w:t>The original common law rule</w:t>
      </w:r>
      <w:r w:rsidR="00136B7C">
        <w:rPr>
          <w:rFonts w:asciiTheme="minorHAnsi" w:hAnsiTheme="minorHAnsi"/>
        </w:rPr>
        <w:t>—</w:t>
      </w:r>
      <w:r>
        <w:rPr>
          <w:rFonts w:asciiTheme="minorHAnsi" w:hAnsiTheme="minorHAnsi"/>
        </w:rPr>
        <w:t xml:space="preserve">dating to </w:t>
      </w:r>
      <w:r w:rsidR="00E23F00">
        <w:rPr>
          <w:rFonts w:asciiTheme="minorHAnsi" w:hAnsiTheme="minorHAnsi"/>
        </w:rPr>
        <w:t>m</w:t>
      </w:r>
      <w:r>
        <w:rPr>
          <w:rFonts w:asciiTheme="minorHAnsi" w:hAnsiTheme="minorHAnsi"/>
        </w:rPr>
        <w:t>edieval England</w:t>
      </w:r>
      <w:r w:rsidR="00136B7C">
        <w:rPr>
          <w:rFonts w:asciiTheme="minorHAnsi" w:hAnsiTheme="minorHAnsi"/>
        </w:rPr>
        <w:t>—</w:t>
      </w:r>
      <w:r w:rsidR="0025364C">
        <w:rPr>
          <w:rFonts w:asciiTheme="minorHAnsi" w:hAnsiTheme="minorHAnsi"/>
        </w:rPr>
        <w:t>was that tort actions were “personal” and therefore died “with the person of either the plaintiff or the defendant.”</w:t>
      </w:r>
      <w:r>
        <w:rPr>
          <w:rStyle w:val="FootnoteReference"/>
          <w:rFonts w:asciiTheme="minorHAnsi" w:hAnsiTheme="minorHAnsi"/>
        </w:rPr>
        <w:footnoteReference w:id="21"/>
      </w:r>
      <w:r w:rsidR="0025364C">
        <w:rPr>
          <w:rFonts w:asciiTheme="minorHAnsi" w:hAnsiTheme="minorHAnsi"/>
        </w:rPr>
        <w:t xml:space="preserve"> </w:t>
      </w:r>
      <w:r w:rsidR="005F7684">
        <w:rPr>
          <w:rFonts w:asciiTheme="minorHAnsi" w:hAnsiTheme="minorHAnsi"/>
        </w:rPr>
        <w:t xml:space="preserve">For the most part, </w:t>
      </w:r>
      <w:r w:rsidR="00D641C7">
        <w:rPr>
          <w:rFonts w:asciiTheme="minorHAnsi" w:hAnsiTheme="minorHAnsi"/>
        </w:rPr>
        <w:t>t</w:t>
      </w:r>
      <w:r>
        <w:rPr>
          <w:rFonts w:asciiTheme="minorHAnsi" w:hAnsiTheme="minorHAnsi"/>
        </w:rPr>
        <w:t xml:space="preserve">hat rule has been reversed by </w:t>
      </w:r>
      <w:r w:rsidR="00136B7C">
        <w:rPr>
          <w:rFonts w:asciiTheme="minorHAnsi" w:hAnsiTheme="minorHAnsi"/>
        </w:rPr>
        <w:t xml:space="preserve">widespread enactment of </w:t>
      </w:r>
      <w:r>
        <w:rPr>
          <w:rFonts w:asciiTheme="minorHAnsi" w:hAnsiTheme="minorHAnsi"/>
        </w:rPr>
        <w:t xml:space="preserve">two kinds of statutes: survival statutes and death statutes. </w:t>
      </w:r>
      <w:r w:rsidR="00136B7C" w:rsidRPr="00535503">
        <w:rPr>
          <w:rFonts w:asciiTheme="minorHAnsi" w:hAnsiTheme="minorHAnsi"/>
          <w:lang w:val="en-CA"/>
        </w:rPr>
        <w:fldChar w:fldCharType="begin"/>
      </w:r>
      <w:r w:rsidR="00136B7C" w:rsidRPr="00535503">
        <w:rPr>
          <w:rFonts w:asciiTheme="minorHAnsi" w:hAnsiTheme="minorHAnsi"/>
          <w:lang w:val="en-CA"/>
        </w:rPr>
        <w:instrText xml:space="preserve"> SEQ CHAPTER \h \r 1</w:instrText>
      </w:r>
      <w:r w:rsidR="00136B7C" w:rsidRPr="00535503">
        <w:rPr>
          <w:rFonts w:asciiTheme="minorHAnsi" w:hAnsiTheme="minorHAnsi"/>
        </w:rPr>
        <w:fldChar w:fldCharType="end"/>
      </w:r>
      <w:r w:rsidR="00136B7C" w:rsidRPr="00535503">
        <w:rPr>
          <w:rFonts w:asciiTheme="minorHAnsi" w:hAnsiTheme="minorHAnsi"/>
        </w:rPr>
        <w:t>If the defendant has injured another but has not caused death</w:t>
      </w:r>
      <w:r w:rsidR="00136B7C">
        <w:rPr>
          <w:rFonts w:asciiTheme="minorHAnsi" w:hAnsiTheme="minorHAnsi"/>
        </w:rPr>
        <w:t>—</w:t>
      </w:r>
      <w:r w:rsidR="00136B7C" w:rsidRPr="00535503">
        <w:rPr>
          <w:rFonts w:asciiTheme="minorHAnsi" w:hAnsiTheme="minorHAnsi"/>
        </w:rPr>
        <w:t>and either the injured person or the defendant has died before trial</w:t>
      </w:r>
      <w:r w:rsidR="00136B7C">
        <w:rPr>
          <w:rFonts w:asciiTheme="minorHAnsi" w:hAnsiTheme="minorHAnsi"/>
        </w:rPr>
        <w:t>—</w:t>
      </w:r>
      <w:r w:rsidR="00136B7C" w:rsidRPr="00535503">
        <w:rPr>
          <w:rFonts w:asciiTheme="minorHAnsi" w:hAnsiTheme="minorHAnsi"/>
        </w:rPr>
        <w:t xml:space="preserve">only the Survival Statute comes into </w:t>
      </w:r>
      <w:r w:rsidR="00136B7C">
        <w:rPr>
          <w:rFonts w:asciiTheme="minorHAnsi" w:hAnsiTheme="minorHAnsi"/>
        </w:rPr>
        <w:t xml:space="preserve">play. </w:t>
      </w:r>
      <w:r w:rsidR="00136B7C" w:rsidRPr="00535503">
        <w:rPr>
          <w:rFonts w:asciiTheme="minorHAnsi" w:hAnsiTheme="minorHAnsi"/>
        </w:rPr>
        <w:t xml:space="preserve">If, however, the defendant's </w:t>
      </w:r>
      <w:r w:rsidR="00136B7C">
        <w:rPr>
          <w:rFonts w:asciiTheme="minorHAnsi" w:hAnsiTheme="minorHAnsi"/>
        </w:rPr>
        <w:t xml:space="preserve">tortious conduct results in the death of the victim, </w:t>
      </w:r>
      <w:r w:rsidR="00136B7C" w:rsidRPr="00535503">
        <w:rPr>
          <w:rFonts w:asciiTheme="minorHAnsi" w:hAnsiTheme="minorHAnsi"/>
        </w:rPr>
        <w:t xml:space="preserve">two distinct statutory </w:t>
      </w:r>
      <w:r w:rsidR="00D05F6C">
        <w:rPr>
          <w:rFonts w:asciiTheme="minorHAnsi" w:hAnsiTheme="minorHAnsi"/>
        </w:rPr>
        <w:t xml:space="preserve">rights of action come into play. </w:t>
      </w:r>
      <w:r w:rsidR="00136B7C" w:rsidRPr="00535503">
        <w:rPr>
          <w:rFonts w:asciiTheme="minorHAnsi" w:hAnsiTheme="minorHAnsi"/>
        </w:rPr>
        <w:t xml:space="preserve">One of these </w:t>
      </w:r>
      <w:r w:rsidR="00136B7C">
        <w:rPr>
          <w:rFonts w:asciiTheme="minorHAnsi" w:hAnsiTheme="minorHAnsi"/>
        </w:rPr>
        <w:t xml:space="preserve">rights is held by </w:t>
      </w:r>
      <w:r w:rsidR="00136B7C" w:rsidRPr="00535503">
        <w:rPr>
          <w:rFonts w:asciiTheme="minorHAnsi" w:hAnsiTheme="minorHAnsi"/>
        </w:rPr>
        <w:t>the estate of the deceased and includes elements of damage for which the deceased could have recovered had he not died; this is the cause of action under the Survival Statute. The other cause of action is created by the Death Statute. The first Death Statute, enacted in England in 1846, is commonly known as Lord Campbell's Act.</w:t>
      </w:r>
      <w:r w:rsidR="003B4794">
        <w:rPr>
          <w:rStyle w:val="FootnoteReference"/>
          <w:rFonts w:asciiTheme="minorHAnsi" w:hAnsiTheme="minorHAnsi"/>
        </w:rPr>
        <w:footnoteReference w:id="22"/>
      </w:r>
      <w:r w:rsidR="00136B7C" w:rsidRPr="00535503">
        <w:rPr>
          <w:rFonts w:asciiTheme="minorHAnsi" w:hAnsiTheme="minorHAnsi"/>
        </w:rPr>
        <w:t xml:space="preserve"> It provided damages for near relatives who were dependents of the person killed, damages being given in accordance with pecuniary benefits they probably would have received but for the death.</w:t>
      </w:r>
      <w:r w:rsidR="003B4794">
        <w:rPr>
          <w:rStyle w:val="FootnoteReference"/>
          <w:rFonts w:asciiTheme="minorHAnsi" w:hAnsiTheme="minorHAnsi"/>
        </w:rPr>
        <w:footnoteReference w:id="23"/>
      </w:r>
      <w:r w:rsidR="00136B7C" w:rsidRPr="00535503">
        <w:rPr>
          <w:rFonts w:asciiTheme="minorHAnsi" w:hAnsiTheme="minorHAnsi"/>
        </w:rPr>
        <w:t xml:space="preserve"> </w:t>
      </w:r>
      <w:r w:rsidR="00D641C7">
        <w:rPr>
          <w:rFonts w:asciiTheme="minorHAnsi" w:hAnsiTheme="minorHAnsi"/>
        </w:rPr>
        <w:t xml:space="preserve">Lord Campbell’s Act </w:t>
      </w:r>
      <w:r w:rsidR="00136B7C" w:rsidRPr="00535503">
        <w:rPr>
          <w:rFonts w:asciiTheme="minorHAnsi" w:hAnsiTheme="minorHAnsi"/>
        </w:rPr>
        <w:t>has been widely copied in the United States</w:t>
      </w:r>
      <w:r w:rsidR="00D641C7">
        <w:rPr>
          <w:rFonts w:asciiTheme="minorHAnsi" w:hAnsiTheme="minorHAnsi"/>
        </w:rPr>
        <w:t>,</w:t>
      </w:r>
      <w:r w:rsidR="00136B7C" w:rsidRPr="00535503">
        <w:rPr>
          <w:rFonts w:asciiTheme="minorHAnsi" w:hAnsiTheme="minorHAnsi"/>
        </w:rPr>
        <w:t xml:space="preserve"> with variations as to the amount of recovery and the persons who may be beneficiaries.</w:t>
      </w:r>
      <w:r w:rsidR="00D641C7">
        <w:rPr>
          <w:rStyle w:val="FootnoteReference"/>
          <w:rFonts w:asciiTheme="minorHAnsi" w:hAnsiTheme="minorHAnsi"/>
        </w:rPr>
        <w:footnoteReference w:id="24"/>
      </w:r>
    </w:p>
    <w:p w14:paraId="6DD4BF48" w14:textId="1E81F578" w:rsidR="00DD5350" w:rsidRDefault="004B37EA" w:rsidP="00EC12AB">
      <w:pPr>
        <w:jc w:val="both"/>
        <w:rPr>
          <w:rFonts w:asciiTheme="minorHAnsi" w:hAnsiTheme="minorHAnsi"/>
        </w:rPr>
      </w:pPr>
      <w:r>
        <w:rPr>
          <w:rFonts w:asciiTheme="minorHAnsi" w:hAnsiTheme="minorHAnsi"/>
        </w:rPr>
        <w:t xml:space="preserve">For the most part, </w:t>
      </w:r>
      <w:r w:rsidR="004921C2">
        <w:rPr>
          <w:rFonts w:asciiTheme="minorHAnsi" w:hAnsiTheme="minorHAnsi"/>
        </w:rPr>
        <w:t xml:space="preserve">then, </w:t>
      </w:r>
      <w:r>
        <w:rPr>
          <w:rFonts w:asciiTheme="minorHAnsi" w:hAnsiTheme="minorHAnsi"/>
        </w:rPr>
        <w:t>w</w:t>
      </w:r>
      <w:r w:rsidR="00136B7C">
        <w:rPr>
          <w:rFonts w:asciiTheme="minorHAnsi" w:hAnsiTheme="minorHAnsi"/>
        </w:rPr>
        <w:t xml:space="preserve">rongful death damages </w:t>
      </w:r>
      <w:r w:rsidR="004513FC">
        <w:rPr>
          <w:rFonts w:asciiTheme="minorHAnsi" w:hAnsiTheme="minorHAnsi"/>
        </w:rPr>
        <w:t xml:space="preserve">are awarded </w:t>
      </w:r>
      <w:r w:rsidR="00136B7C" w:rsidRPr="00136B7C">
        <w:rPr>
          <w:rFonts w:asciiTheme="minorHAnsi" w:hAnsiTheme="minorHAnsi"/>
        </w:rPr>
        <w:t xml:space="preserve">for “relational harm.”  </w:t>
      </w:r>
      <w:r>
        <w:rPr>
          <w:rFonts w:asciiTheme="minorHAnsi" w:hAnsiTheme="minorHAnsi"/>
        </w:rPr>
        <w:t xml:space="preserve">Recovery </w:t>
      </w:r>
      <w:r w:rsidR="00136B7C" w:rsidRPr="00136B7C">
        <w:rPr>
          <w:rFonts w:asciiTheme="minorHAnsi" w:hAnsiTheme="minorHAnsi"/>
        </w:rPr>
        <w:t>is by various person</w:t>
      </w:r>
      <w:r w:rsidR="00985B22">
        <w:rPr>
          <w:rFonts w:asciiTheme="minorHAnsi" w:hAnsiTheme="minorHAnsi"/>
        </w:rPr>
        <w:t>s</w:t>
      </w:r>
      <w:r w:rsidR="00136B7C" w:rsidRPr="00136B7C">
        <w:rPr>
          <w:rFonts w:asciiTheme="minorHAnsi" w:hAnsiTheme="minorHAnsi"/>
        </w:rPr>
        <w:t xml:space="preserve"> related to the victim, who have suffered </w:t>
      </w:r>
      <w:r w:rsidR="006A26F7">
        <w:rPr>
          <w:rFonts w:asciiTheme="minorHAnsi" w:hAnsiTheme="minorHAnsi"/>
        </w:rPr>
        <w:t xml:space="preserve">losses as a result of </w:t>
      </w:r>
      <w:r w:rsidR="00136B7C" w:rsidRPr="00136B7C">
        <w:rPr>
          <w:rFonts w:asciiTheme="minorHAnsi" w:hAnsiTheme="minorHAnsi"/>
        </w:rPr>
        <w:t>the victim’s wrongful death.</w:t>
      </w:r>
      <w:r w:rsidR="00325D5A">
        <w:rPr>
          <w:rStyle w:val="FootnoteReference"/>
          <w:rFonts w:asciiTheme="minorHAnsi" w:hAnsiTheme="minorHAnsi"/>
        </w:rPr>
        <w:footnoteReference w:id="25"/>
      </w:r>
      <w:r w:rsidR="00136B7C">
        <w:rPr>
          <w:rFonts w:asciiTheme="minorHAnsi" w:hAnsiTheme="minorHAnsi"/>
        </w:rPr>
        <w:t xml:space="preserve"> For our purposes, the lesson here </w:t>
      </w:r>
      <w:r w:rsidR="004921C2">
        <w:rPr>
          <w:rFonts w:asciiTheme="minorHAnsi" w:hAnsiTheme="minorHAnsi"/>
        </w:rPr>
        <w:t xml:space="preserve">lies in </w:t>
      </w:r>
      <w:r w:rsidR="00136B7C">
        <w:rPr>
          <w:rFonts w:asciiTheme="minorHAnsi" w:hAnsiTheme="minorHAnsi"/>
        </w:rPr>
        <w:t xml:space="preserve">the kind of recovery that is </w:t>
      </w:r>
      <w:r w:rsidR="00136B7C" w:rsidRPr="00325D5A">
        <w:rPr>
          <w:rFonts w:asciiTheme="minorHAnsi" w:hAnsiTheme="minorHAnsi"/>
          <w:i/>
          <w:iCs/>
        </w:rPr>
        <w:t>not</w:t>
      </w:r>
      <w:r w:rsidR="00136B7C">
        <w:rPr>
          <w:rFonts w:asciiTheme="minorHAnsi" w:hAnsiTheme="minorHAnsi"/>
        </w:rPr>
        <w:t xml:space="preserve"> authorized by either statute. The</w:t>
      </w:r>
      <w:r w:rsidR="004E53FB">
        <w:rPr>
          <w:rFonts w:asciiTheme="minorHAnsi" w:hAnsiTheme="minorHAnsi"/>
        </w:rPr>
        <w:t xml:space="preserve"> victim does not recover for the value to them </w:t>
      </w:r>
      <w:r w:rsidR="003B4794">
        <w:rPr>
          <w:rFonts w:asciiTheme="minorHAnsi" w:hAnsiTheme="minorHAnsi"/>
        </w:rPr>
        <w:t xml:space="preserve">of the life that </w:t>
      </w:r>
      <w:r w:rsidR="00991441">
        <w:rPr>
          <w:rFonts w:asciiTheme="minorHAnsi" w:hAnsiTheme="minorHAnsi"/>
        </w:rPr>
        <w:t>they have</w:t>
      </w:r>
      <w:r w:rsidR="003B4794">
        <w:rPr>
          <w:rFonts w:asciiTheme="minorHAnsi" w:hAnsiTheme="minorHAnsi"/>
        </w:rPr>
        <w:t xml:space="preserve"> lost</w:t>
      </w:r>
      <w:r w:rsidR="00136B7C">
        <w:rPr>
          <w:rFonts w:asciiTheme="minorHAnsi" w:hAnsiTheme="minorHAnsi"/>
        </w:rPr>
        <w:t>.</w:t>
      </w:r>
      <w:r w:rsidR="00136B7C" w:rsidRPr="00136B7C">
        <w:rPr>
          <w:rFonts w:asciiTheme="minorHAnsi" w:hAnsiTheme="minorHAnsi"/>
        </w:rPr>
        <w:t xml:space="preserve"> </w:t>
      </w:r>
      <w:r w:rsidR="00325D5A">
        <w:rPr>
          <w:rFonts w:asciiTheme="minorHAnsi" w:hAnsiTheme="minorHAnsi"/>
        </w:rPr>
        <w:t xml:space="preserve">“Loss of enjoyment of life,” one court explains, </w:t>
      </w:r>
      <w:r w:rsidR="0083378C">
        <w:rPr>
          <w:rFonts w:asciiTheme="minorHAnsi" w:hAnsiTheme="minorHAnsi"/>
        </w:rPr>
        <w:t>“</w:t>
      </w:r>
      <w:r w:rsidR="00325D5A">
        <w:rPr>
          <w:rFonts w:asciiTheme="minorHAnsi" w:hAnsiTheme="minorHAnsi"/>
        </w:rPr>
        <w:t>must . . . be experienced in life before it can become the basis for an award of damages.”</w:t>
      </w:r>
      <w:r w:rsidR="00397341">
        <w:rPr>
          <w:rStyle w:val="FootnoteReference"/>
          <w:rFonts w:asciiTheme="minorHAnsi" w:hAnsiTheme="minorHAnsi"/>
        </w:rPr>
        <w:footnoteReference w:id="26"/>
      </w:r>
      <w:r w:rsidR="00325D5A">
        <w:rPr>
          <w:rFonts w:asciiTheme="minorHAnsi" w:hAnsiTheme="minorHAnsi"/>
        </w:rPr>
        <w:t xml:space="preserve"> The dead do not experience the lost enjoyment of the lives </w:t>
      </w:r>
      <w:r w:rsidR="00991441">
        <w:rPr>
          <w:rFonts w:asciiTheme="minorHAnsi" w:hAnsiTheme="minorHAnsi"/>
        </w:rPr>
        <w:t xml:space="preserve">that have wrongly been taken from them. </w:t>
      </w:r>
      <w:r w:rsidR="006A26F7">
        <w:rPr>
          <w:rFonts w:asciiTheme="minorHAnsi" w:hAnsiTheme="minorHAnsi"/>
        </w:rPr>
        <w:t xml:space="preserve">When it is impossible for money damages to repair a loss, compensatory damages cannot </w:t>
      </w:r>
      <w:r w:rsidR="006F5E86">
        <w:rPr>
          <w:rFonts w:asciiTheme="minorHAnsi" w:hAnsiTheme="minorHAnsi"/>
        </w:rPr>
        <w:t xml:space="preserve">deliver the compensation </w:t>
      </w:r>
      <w:r w:rsidR="0083378C">
        <w:rPr>
          <w:rFonts w:asciiTheme="minorHAnsi" w:hAnsiTheme="minorHAnsi"/>
        </w:rPr>
        <w:t xml:space="preserve">that </w:t>
      </w:r>
      <w:r w:rsidR="006F5E86">
        <w:rPr>
          <w:rFonts w:asciiTheme="minorHAnsi" w:hAnsiTheme="minorHAnsi"/>
        </w:rPr>
        <w:t>they promise. In refusing t</w:t>
      </w:r>
      <w:r w:rsidR="006A26F7">
        <w:rPr>
          <w:rFonts w:asciiTheme="minorHAnsi" w:hAnsiTheme="minorHAnsi"/>
        </w:rPr>
        <w:t>o</w:t>
      </w:r>
      <w:r w:rsidR="006F5E86">
        <w:rPr>
          <w:rFonts w:asciiTheme="minorHAnsi" w:hAnsiTheme="minorHAnsi"/>
        </w:rPr>
        <w:t xml:space="preserve"> award </w:t>
      </w:r>
      <w:r w:rsidR="006A26F7">
        <w:rPr>
          <w:rFonts w:asciiTheme="minorHAnsi" w:hAnsiTheme="minorHAnsi"/>
        </w:rPr>
        <w:t>damages for the value to the victim of the life they have lost</w:t>
      </w:r>
      <w:r w:rsidR="006F5E86">
        <w:rPr>
          <w:rFonts w:asciiTheme="minorHAnsi" w:hAnsiTheme="minorHAnsi"/>
        </w:rPr>
        <w:t>,</w:t>
      </w:r>
      <w:r w:rsidR="006A26F7">
        <w:rPr>
          <w:rFonts w:asciiTheme="minorHAnsi" w:hAnsiTheme="minorHAnsi"/>
        </w:rPr>
        <w:t xml:space="preserve"> </w:t>
      </w:r>
      <w:r w:rsidR="006F5E86">
        <w:rPr>
          <w:rFonts w:asciiTheme="minorHAnsi" w:hAnsiTheme="minorHAnsi"/>
        </w:rPr>
        <w:t xml:space="preserve">the law of wrongful death damages is </w:t>
      </w:r>
      <w:r w:rsidR="0083378C">
        <w:rPr>
          <w:rFonts w:asciiTheme="minorHAnsi" w:hAnsiTheme="minorHAnsi"/>
        </w:rPr>
        <w:t xml:space="preserve">thus </w:t>
      </w:r>
      <w:r w:rsidR="006F5E86">
        <w:rPr>
          <w:rFonts w:asciiTheme="minorHAnsi" w:hAnsiTheme="minorHAnsi"/>
        </w:rPr>
        <w:t>faithful to tort law’s own internal logic</w:t>
      </w:r>
      <w:r w:rsidR="0083378C">
        <w:rPr>
          <w:rFonts w:asciiTheme="minorHAnsi" w:hAnsiTheme="minorHAnsi"/>
        </w:rPr>
        <w:t xml:space="preserve">. But this perfection of tort law’s own internal logic also clarifies the limits of the institution’s powers. </w:t>
      </w:r>
      <w:r w:rsidR="00704DDA">
        <w:rPr>
          <w:rFonts w:asciiTheme="minorHAnsi" w:hAnsiTheme="minorHAnsi"/>
        </w:rPr>
        <w:t xml:space="preserve">Because the law of torts relies on reparation both to enforce its primary obligations and to erase the effects of tortious wrongs, its powers depend on the possibility of adequate reparation. </w:t>
      </w:r>
      <w:r w:rsidR="00BA7737">
        <w:rPr>
          <w:rFonts w:asciiTheme="minorHAnsi" w:hAnsiTheme="minorHAnsi"/>
        </w:rPr>
        <w:t xml:space="preserve">On the one hand, </w:t>
      </w:r>
      <w:r w:rsidR="0083378C">
        <w:rPr>
          <w:rFonts w:asciiTheme="minorHAnsi" w:hAnsiTheme="minorHAnsi"/>
        </w:rPr>
        <w:t xml:space="preserve">the harm of </w:t>
      </w:r>
      <w:r w:rsidR="00BA7737">
        <w:rPr>
          <w:rFonts w:asciiTheme="minorHAnsi" w:hAnsiTheme="minorHAnsi"/>
        </w:rPr>
        <w:t xml:space="preserve">death disables the doing of corrective justice. There is no repairing the most severe loss that tortious wrongs can inflict upon us. On the other hand, death strips tort law of its powers of deterrence. </w:t>
      </w:r>
      <w:r w:rsidR="0033268A">
        <w:rPr>
          <w:rFonts w:asciiTheme="minorHAnsi" w:hAnsiTheme="minorHAnsi"/>
        </w:rPr>
        <w:t>For good reason, c</w:t>
      </w:r>
      <w:r w:rsidR="00991441">
        <w:rPr>
          <w:rFonts w:asciiTheme="minorHAnsi" w:hAnsiTheme="minorHAnsi"/>
        </w:rPr>
        <w:t xml:space="preserve">ourts and </w:t>
      </w:r>
      <w:r w:rsidR="00991441">
        <w:rPr>
          <w:rFonts w:asciiTheme="minorHAnsi" w:hAnsiTheme="minorHAnsi"/>
        </w:rPr>
        <w:lastRenderedPageBreak/>
        <w:t xml:space="preserve">commentators alike </w:t>
      </w:r>
      <w:r w:rsidR="0033268A">
        <w:rPr>
          <w:rFonts w:asciiTheme="minorHAnsi" w:hAnsiTheme="minorHAnsi"/>
        </w:rPr>
        <w:t xml:space="preserve">grimly </w:t>
      </w:r>
      <w:r w:rsidR="00991441">
        <w:rPr>
          <w:rFonts w:asciiTheme="minorHAnsi" w:hAnsiTheme="minorHAnsi"/>
        </w:rPr>
        <w:t xml:space="preserve">quote </w:t>
      </w:r>
      <w:r w:rsidR="0033268A">
        <w:rPr>
          <w:rFonts w:asciiTheme="minorHAnsi" w:hAnsiTheme="minorHAnsi"/>
        </w:rPr>
        <w:t>“the old adage that it is cheaper to kill your victim than to leave him maimed.”</w:t>
      </w:r>
      <w:r w:rsidR="0033268A">
        <w:rPr>
          <w:rStyle w:val="FootnoteReference"/>
          <w:rFonts w:asciiTheme="minorHAnsi" w:hAnsiTheme="minorHAnsi"/>
        </w:rPr>
        <w:footnoteReference w:id="27"/>
      </w:r>
      <w:r w:rsidR="0033268A">
        <w:rPr>
          <w:rFonts w:asciiTheme="minorHAnsi" w:hAnsiTheme="minorHAnsi"/>
        </w:rPr>
        <w:t xml:space="preserve"> Empirical evidence bears them out.</w:t>
      </w:r>
      <w:r w:rsidR="00D641C7">
        <w:rPr>
          <w:rFonts w:asciiTheme="minorHAnsi" w:hAnsiTheme="minorHAnsi"/>
        </w:rPr>
        <w:t xml:space="preserve"> </w:t>
      </w:r>
      <w:r w:rsidR="00DD5350">
        <w:rPr>
          <w:rFonts w:asciiTheme="minorHAnsi" w:hAnsiTheme="minorHAnsi"/>
        </w:rPr>
        <w:t>“For example, the average jury verdict in New York City between 1984 and 1993 in case of wrongful death was over $1 million, whereas verdicts in cases of damage averaged over $3 million.”</w:t>
      </w:r>
      <w:r w:rsidR="0033268A">
        <w:rPr>
          <w:rStyle w:val="FootnoteReference"/>
          <w:rFonts w:asciiTheme="minorHAnsi" w:hAnsiTheme="minorHAnsi"/>
        </w:rPr>
        <w:footnoteReference w:id="28"/>
      </w:r>
      <w:r w:rsidR="0033268A">
        <w:rPr>
          <w:rFonts w:asciiTheme="minorHAnsi" w:hAnsiTheme="minorHAnsi"/>
        </w:rPr>
        <w:t xml:space="preserve"> </w:t>
      </w:r>
      <w:r w:rsidR="00DD5350">
        <w:rPr>
          <w:rFonts w:asciiTheme="minorHAnsi" w:hAnsiTheme="minorHAnsi"/>
        </w:rPr>
        <w:t xml:space="preserve"> </w:t>
      </w:r>
      <w:r w:rsidR="00CD45A1">
        <w:rPr>
          <w:rFonts w:asciiTheme="minorHAnsi" w:hAnsiTheme="minorHAnsi"/>
        </w:rPr>
        <w:t>I</w:t>
      </w:r>
      <w:r w:rsidR="00DD5350">
        <w:rPr>
          <w:rFonts w:asciiTheme="minorHAnsi" w:hAnsiTheme="minorHAnsi"/>
        </w:rPr>
        <w:t xml:space="preserve">nsofar as </w:t>
      </w:r>
      <w:r w:rsidR="00BA7737">
        <w:rPr>
          <w:rFonts w:asciiTheme="minorHAnsi" w:hAnsiTheme="minorHAnsi"/>
        </w:rPr>
        <w:t xml:space="preserve">the </w:t>
      </w:r>
      <w:r w:rsidR="00DD5350">
        <w:rPr>
          <w:rFonts w:asciiTheme="minorHAnsi" w:hAnsiTheme="minorHAnsi"/>
        </w:rPr>
        <w:t>right to repair is the mechanism through which our right</w:t>
      </w:r>
      <w:r w:rsidR="00BA7737">
        <w:rPr>
          <w:rFonts w:asciiTheme="minorHAnsi" w:hAnsiTheme="minorHAnsi"/>
        </w:rPr>
        <w:t>s</w:t>
      </w:r>
      <w:r w:rsidR="00DD5350">
        <w:rPr>
          <w:rFonts w:asciiTheme="minorHAnsi" w:hAnsiTheme="minorHAnsi"/>
        </w:rPr>
        <w:t xml:space="preserve"> not to be wrongly harmed in the first </w:t>
      </w:r>
      <w:r w:rsidR="00BA7737">
        <w:rPr>
          <w:rFonts w:asciiTheme="minorHAnsi" w:hAnsiTheme="minorHAnsi"/>
        </w:rPr>
        <w:t xml:space="preserve">instance are </w:t>
      </w:r>
      <w:r w:rsidR="00CD45A1">
        <w:rPr>
          <w:rFonts w:asciiTheme="minorHAnsi" w:hAnsiTheme="minorHAnsi"/>
        </w:rPr>
        <w:t xml:space="preserve">enforced, </w:t>
      </w:r>
      <w:r w:rsidR="00BA7737">
        <w:rPr>
          <w:rFonts w:asciiTheme="minorHAnsi" w:hAnsiTheme="minorHAnsi"/>
        </w:rPr>
        <w:t>when the harm done is irreparable the protections conferred upon us by the law of torts are precarious at best</w:t>
      </w:r>
      <w:r w:rsidR="00CD45A1">
        <w:rPr>
          <w:rFonts w:asciiTheme="minorHAnsi" w:hAnsiTheme="minorHAnsi"/>
        </w:rPr>
        <w:t xml:space="preserve">. </w:t>
      </w:r>
    </w:p>
    <w:p w14:paraId="3C81EE11" w14:textId="08BDFFB7" w:rsidR="00C16A1A" w:rsidRDefault="005F7684" w:rsidP="00C16A1A">
      <w:pPr>
        <w:jc w:val="both"/>
        <w:rPr>
          <w:rFonts w:asciiTheme="minorHAnsi" w:hAnsiTheme="minorHAnsi"/>
        </w:rPr>
      </w:pPr>
      <w:r>
        <w:rPr>
          <w:rFonts w:asciiTheme="minorHAnsi" w:hAnsiTheme="minorHAnsi"/>
        </w:rPr>
        <w:t>The</w:t>
      </w:r>
      <w:r w:rsidR="003E0F99">
        <w:rPr>
          <w:rFonts w:asciiTheme="minorHAnsi" w:hAnsiTheme="minorHAnsi"/>
        </w:rPr>
        <w:t xml:space="preserve"> larger</w:t>
      </w:r>
      <w:r>
        <w:rPr>
          <w:rFonts w:asciiTheme="minorHAnsi" w:hAnsiTheme="minorHAnsi"/>
        </w:rPr>
        <w:t xml:space="preserve"> lesson of wrongful death damages</w:t>
      </w:r>
      <w:r w:rsidR="003E0F99">
        <w:rPr>
          <w:rFonts w:asciiTheme="minorHAnsi" w:hAnsiTheme="minorHAnsi"/>
        </w:rPr>
        <w:t>, then,</w:t>
      </w:r>
      <w:r>
        <w:rPr>
          <w:rFonts w:asciiTheme="minorHAnsi" w:hAnsiTheme="minorHAnsi"/>
        </w:rPr>
        <w:t xml:space="preserve"> is that </w:t>
      </w:r>
      <w:r w:rsidR="008A1791">
        <w:rPr>
          <w:rFonts w:asciiTheme="minorHAnsi" w:hAnsiTheme="minorHAnsi"/>
        </w:rPr>
        <w:t xml:space="preserve">the law of </w:t>
      </w:r>
      <w:r w:rsidR="00773B87">
        <w:rPr>
          <w:rFonts w:asciiTheme="minorHAnsi" w:hAnsiTheme="minorHAnsi"/>
        </w:rPr>
        <w:t>tort</w:t>
      </w:r>
      <w:r w:rsidR="008A1791">
        <w:rPr>
          <w:rFonts w:asciiTheme="minorHAnsi" w:hAnsiTheme="minorHAnsi"/>
        </w:rPr>
        <w:t>s</w:t>
      </w:r>
      <w:r w:rsidR="00773B87">
        <w:rPr>
          <w:rFonts w:asciiTheme="minorHAnsi" w:hAnsiTheme="minorHAnsi"/>
        </w:rPr>
        <w:t xml:space="preserve"> is </w:t>
      </w:r>
      <w:r w:rsidR="00CD45A1">
        <w:rPr>
          <w:rFonts w:asciiTheme="minorHAnsi" w:hAnsiTheme="minorHAnsi"/>
        </w:rPr>
        <w:t>fundamentally incomplete</w:t>
      </w:r>
      <w:r w:rsidR="008A1791">
        <w:rPr>
          <w:rFonts w:asciiTheme="minorHAnsi" w:hAnsiTheme="minorHAnsi"/>
        </w:rPr>
        <w:t xml:space="preserve">; a law of reparation for harm done does not protect us against irreparable injury. </w:t>
      </w:r>
      <w:r w:rsidR="00773B87">
        <w:rPr>
          <w:rFonts w:asciiTheme="minorHAnsi" w:hAnsiTheme="minorHAnsi"/>
        </w:rPr>
        <w:t xml:space="preserve">Punitive damages and criminal sanctions can </w:t>
      </w:r>
      <w:r w:rsidR="008A1791">
        <w:rPr>
          <w:rFonts w:asciiTheme="minorHAnsi" w:hAnsiTheme="minorHAnsi"/>
        </w:rPr>
        <w:t xml:space="preserve">remedy </w:t>
      </w:r>
      <w:r w:rsidR="00773B87">
        <w:rPr>
          <w:rFonts w:asciiTheme="minorHAnsi" w:hAnsiTheme="minorHAnsi"/>
        </w:rPr>
        <w:t xml:space="preserve">this incompleteness only to a </w:t>
      </w:r>
      <w:r w:rsidR="008A1791">
        <w:rPr>
          <w:rFonts w:asciiTheme="minorHAnsi" w:hAnsiTheme="minorHAnsi"/>
        </w:rPr>
        <w:t xml:space="preserve">limited </w:t>
      </w:r>
      <w:r w:rsidR="00773B87">
        <w:rPr>
          <w:rFonts w:asciiTheme="minorHAnsi" w:hAnsiTheme="minorHAnsi"/>
        </w:rPr>
        <w:t>extent. Punitive damages and criminal sanctions are primarily targeted at conduct that is seriously wrongful.</w:t>
      </w:r>
      <w:r w:rsidR="0012666B">
        <w:rPr>
          <w:rStyle w:val="FootnoteReference"/>
          <w:rFonts w:asciiTheme="minorHAnsi" w:hAnsiTheme="minorHAnsi"/>
        </w:rPr>
        <w:footnoteReference w:id="29"/>
      </w:r>
      <w:r w:rsidR="00773B87">
        <w:rPr>
          <w:rFonts w:asciiTheme="minorHAnsi" w:hAnsiTheme="minorHAnsi"/>
        </w:rPr>
        <w:t xml:space="preserve"> </w:t>
      </w:r>
      <w:r w:rsidR="008A1791">
        <w:rPr>
          <w:rFonts w:asciiTheme="minorHAnsi" w:hAnsiTheme="minorHAnsi"/>
        </w:rPr>
        <w:t xml:space="preserve">Some seriously harmful conduct is also seriously wrongful, but only some. </w:t>
      </w:r>
      <w:r w:rsidR="00F856E9">
        <w:rPr>
          <w:rFonts w:asciiTheme="minorHAnsi" w:hAnsiTheme="minorHAnsi"/>
        </w:rPr>
        <w:t>Irreparable injury can be caused</w:t>
      </w:r>
      <w:r w:rsidR="00152004">
        <w:rPr>
          <w:rFonts w:asciiTheme="minorHAnsi" w:hAnsiTheme="minorHAnsi"/>
        </w:rPr>
        <w:t xml:space="preserve"> by</w:t>
      </w:r>
      <w:r w:rsidR="00F856E9">
        <w:rPr>
          <w:rFonts w:asciiTheme="minorHAnsi" w:hAnsiTheme="minorHAnsi"/>
        </w:rPr>
        <w:t xml:space="preserve"> a momentary lapse of the most ordinary and least blameworthy sort. </w:t>
      </w:r>
      <w:r w:rsidR="0012666B">
        <w:rPr>
          <w:rFonts w:asciiTheme="minorHAnsi" w:hAnsiTheme="minorHAnsi"/>
        </w:rPr>
        <w:t>Taking one’s eyes of</w:t>
      </w:r>
      <w:r w:rsidR="00857CD8">
        <w:rPr>
          <w:rFonts w:asciiTheme="minorHAnsi" w:hAnsiTheme="minorHAnsi"/>
        </w:rPr>
        <w:t>f</w:t>
      </w:r>
      <w:r w:rsidR="00AD74C1">
        <w:rPr>
          <w:rFonts w:asciiTheme="minorHAnsi" w:hAnsiTheme="minorHAnsi"/>
        </w:rPr>
        <w:t xml:space="preserve"> </w:t>
      </w:r>
      <w:r w:rsidR="0012666B">
        <w:rPr>
          <w:rFonts w:asciiTheme="minorHAnsi" w:hAnsiTheme="minorHAnsi"/>
        </w:rPr>
        <w:t xml:space="preserve">the road for just a split second while driving can maim or kill </w:t>
      </w:r>
      <w:r w:rsidR="00BA7737">
        <w:rPr>
          <w:rFonts w:asciiTheme="minorHAnsi" w:hAnsiTheme="minorHAnsi"/>
        </w:rPr>
        <w:t xml:space="preserve">another human </w:t>
      </w:r>
      <w:r w:rsidR="0083378C">
        <w:rPr>
          <w:rFonts w:asciiTheme="minorHAnsi" w:hAnsiTheme="minorHAnsi"/>
        </w:rPr>
        <w:t>being</w:t>
      </w:r>
      <w:r w:rsidR="00152004">
        <w:rPr>
          <w:rFonts w:asciiTheme="minorHAnsi" w:hAnsiTheme="minorHAnsi"/>
        </w:rPr>
        <w:t>,</w:t>
      </w:r>
      <w:r w:rsidR="0083378C">
        <w:rPr>
          <w:rFonts w:asciiTheme="minorHAnsi" w:hAnsiTheme="minorHAnsi"/>
        </w:rPr>
        <w:t xml:space="preserve"> but</w:t>
      </w:r>
      <w:r w:rsidR="00BA7737">
        <w:rPr>
          <w:rFonts w:asciiTheme="minorHAnsi" w:hAnsiTheme="minorHAnsi"/>
        </w:rPr>
        <w:t xml:space="preserve"> doing so is ordinary human </w:t>
      </w:r>
      <w:r w:rsidR="000B5F03">
        <w:rPr>
          <w:rFonts w:asciiTheme="minorHAnsi" w:hAnsiTheme="minorHAnsi"/>
        </w:rPr>
        <w:t>carelessness</w:t>
      </w:r>
      <w:r w:rsidR="0083378C">
        <w:rPr>
          <w:rFonts w:asciiTheme="minorHAnsi" w:hAnsiTheme="minorHAnsi"/>
        </w:rPr>
        <w:t>,</w:t>
      </w:r>
      <w:r w:rsidR="00BA7737">
        <w:rPr>
          <w:rFonts w:asciiTheme="minorHAnsi" w:hAnsiTheme="minorHAnsi"/>
        </w:rPr>
        <w:t xml:space="preserve"> not </w:t>
      </w:r>
      <w:r w:rsidR="000B5F03">
        <w:rPr>
          <w:rFonts w:asciiTheme="minorHAnsi" w:hAnsiTheme="minorHAnsi"/>
        </w:rPr>
        <w:t xml:space="preserve">appallingly </w:t>
      </w:r>
      <w:r w:rsidR="0083378C">
        <w:rPr>
          <w:rFonts w:asciiTheme="minorHAnsi" w:hAnsiTheme="minorHAnsi"/>
        </w:rPr>
        <w:t xml:space="preserve">callous </w:t>
      </w:r>
      <w:r w:rsidR="00BA7737">
        <w:rPr>
          <w:rFonts w:asciiTheme="minorHAnsi" w:hAnsiTheme="minorHAnsi"/>
        </w:rPr>
        <w:t>disregard for the safety of others.</w:t>
      </w:r>
      <w:r w:rsidR="003E0F99">
        <w:rPr>
          <w:rFonts w:asciiTheme="minorHAnsi" w:hAnsiTheme="minorHAnsi"/>
        </w:rPr>
        <w:t xml:space="preserve"> </w:t>
      </w:r>
      <w:r w:rsidR="007671FE">
        <w:rPr>
          <w:rFonts w:asciiTheme="minorHAnsi" w:hAnsiTheme="minorHAnsi"/>
        </w:rPr>
        <w:t>Inju</w:t>
      </w:r>
      <w:r w:rsidR="008A1791">
        <w:rPr>
          <w:rFonts w:asciiTheme="minorHAnsi" w:hAnsiTheme="minorHAnsi"/>
        </w:rPr>
        <w:t xml:space="preserve">nctive relief, too, is a blunt instrument and one targeted at the different problem of activities that do so much harm that they should not be allowed to continue. Direct regulation of risk is the response that </w:t>
      </w:r>
      <w:r w:rsidR="00C16A1A">
        <w:rPr>
          <w:rFonts w:asciiTheme="minorHAnsi" w:hAnsiTheme="minorHAnsi"/>
        </w:rPr>
        <w:t xml:space="preserve">cures the problem most precisely. </w:t>
      </w:r>
      <w:r w:rsidR="00F46C1D">
        <w:rPr>
          <w:rFonts w:asciiTheme="minorHAnsi" w:hAnsiTheme="minorHAnsi"/>
        </w:rPr>
        <w:t xml:space="preserve">Legislatures and administrative agencies are </w:t>
      </w:r>
      <w:r w:rsidR="004760C0">
        <w:rPr>
          <w:rFonts w:asciiTheme="minorHAnsi" w:hAnsiTheme="minorHAnsi"/>
        </w:rPr>
        <w:t>in a position to articulate, ex</w:t>
      </w:r>
      <w:r w:rsidR="00945121">
        <w:rPr>
          <w:rFonts w:asciiTheme="minorHAnsi" w:hAnsiTheme="minorHAnsi"/>
        </w:rPr>
        <w:t xml:space="preserve"> </w:t>
      </w:r>
      <w:r w:rsidR="004760C0">
        <w:rPr>
          <w:rFonts w:asciiTheme="minorHAnsi" w:hAnsiTheme="minorHAnsi"/>
        </w:rPr>
        <w:t xml:space="preserve">ante, </w:t>
      </w:r>
      <w:r w:rsidR="00F46C1D">
        <w:rPr>
          <w:rFonts w:asciiTheme="minorHAnsi" w:hAnsiTheme="minorHAnsi"/>
        </w:rPr>
        <w:t>st</w:t>
      </w:r>
      <w:r w:rsidR="00F856E9">
        <w:rPr>
          <w:rFonts w:asciiTheme="minorHAnsi" w:hAnsiTheme="minorHAnsi"/>
        </w:rPr>
        <w:t>andards of precaution</w:t>
      </w:r>
      <w:r w:rsidR="00F46C1D">
        <w:rPr>
          <w:rFonts w:asciiTheme="minorHAnsi" w:hAnsiTheme="minorHAnsi"/>
        </w:rPr>
        <w:t xml:space="preserve"> whose stringency </w:t>
      </w:r>
      <w:r w:rsidR="00515BC4">
        <w:rPr>
          <w:rFonts w:asciiTheme="minorHAnsi" w:hAnsiTheme="minorHAnsi"/>
        </w:rPr>
        <w:t>responds</w:t>
      </w:r>
      <w:r w:rsidR="00F46C1D">
        <w:rPr>
          <w:rFonts w:asciiTheme="minorHAnsi" w:hAnsiTheme="minorHAnsi"/>
        </w:rPr>
        <w:t xml:space="preserve"> appropriately to severe and irreparable injury</w:t>
      </w:r>
      <w:r w:rsidR="003E0F99">
        <w:rPr>
          <w:rFonts w:asciiTheme="minorHAnsi" w:hAnsiTheme="minorHAnsi"/>
        </w:rPr>
        <w:t xml:space="preserve">. </w:t>
      </w:r>
    </w:p>
    <w:p w14:paraId="1A88BD76" w14:textId="393B28EB" w:rsidR="00F856E9" w:rsidRDefault="00163509" w:rsidP="00C16A1A">
      <w:pPr>
        <w:jc w:val="both"/>
        <w:rPr>
          <w:rFonts w:asciiTheme="minorHAnsi" w:hAnsiTheme="minorHAnsi"/>
        </w:rPr>
      </w:pPr>
      <w:r>
        <w:rPr>
          <w:rFonts w:asciiTheme="minorHAnsi" w:hAnsiTheme="minorHAnsi"/>
        </w:rPr>
        <w:t>S</w:t>
      </w:r>
      <w:r w:rsidR="00956E65">
        <w:rPr>
          <w:rFonts w:asciiTheme="minorHAnsi" w:hAnsiTheme="minorHAnsi"/>
        </w:rPr>
        <w:t xml:space="preserve">tringent </w:t>
      </w:r>
      <w:r>
        <w:rPr>
          <w:rFonts w:asciiTheme="minorHAnsi" w:hAnsiTheme="minorHAnsi"/>
        </w:rPr>
        <w:t xml:space="preserve">standards </w:t>
      </w:r>
      <w:r w:rsidR="00956E65">
        <w:rPr>
          <w:rFonts w:asciiTheme="minorHAnsi" w:hAnsiTheme="minorHAnsi"/>
        </w:rPr>
        <w:t xml:space="preserve">of precaution against irreparable injury </w:t>
      </w:r>
      <w:r>
        <w:rPr>
          <w:rFonts w:asciiTheme="minorHAnsi" w:hAnsiTheme="minorHAnsi"/>
        </w:rPr>
        <w:t>are</w:t>
      </w:r>
      <w:r w:rsidR="003E0F99">
        <w:rPr>
          <w:rFonts w:asciiTheme="minorHAnsi" w:hAnsiTheme="minorHAnsi"/>
        </w:rPr>
        <w:t xml:space="preserve">, in fact, </w:t>
      </w:r>
      <w:r w:rsidR="00956E65">
        <w:rPr>
          <w:rFonts w:asciiTheme="minorHAnsi" w:hAnsiTheme="minorHAnsi"/>
        </w:rPr>
        <w:t xml:space="preserve">prominent </w:t>
      </w:r>
      <w:r w:rsidR="009946E8">
        <w:rPr>
          <w:rFonts w:asciiTheme="minorHAnsi" w:hAnsiTheme="minorHAnsi"/>
        </w:rPr>
        <w:t xml:space="preserve">features of </w:t>
      </w:r>
      <w:r w:rsidR="00956E65">
        <w:rPr>
          <w:rFonts w:asciiTheme="minorHAnsi" w:hAnsiTheme="minorHAnsi"/>
        </w:rPr>
        <w:t>federal statutes addressing environmental and workplace harms</w:t>
      </w:r>
      <w:r w:rsidR="00BD6F19">
        <w:rPr>
          <w:rFonts w:asciiTheme="minorHAnsi" w:hAnsiTheme="minorHAnsi"/>
        </w:rPr>
        <w:t xml:space="preserve">. They </w:t>
      </w:r>
      <w:r w:rsidR="005F7684">
        <w:rPr>
          <w:rFonts w:asciiTheme="minorHAnsi" w:hAnsiTheme="minorHAnsi"/>
        </w:rPr>
        <w:t xml:space="preserve">are </w:t>
      </w:r>
      <w:r>
        <w:rPr>
          <w:rFonts w:asciiTheme="minorHAnsi" w:hAnsiTheme="minorHAnsi"/>
        </w:rPr>
        <w:t xml:space="preserve">overlooked by </w:t>
      </w:r>
      <w:r w:rsidR="000B5F03">
        <w:rPr>
          <w:rFonts w:asciiTheme="minorHAnsi" w:hAnsiTheme="minorHAnsi"/>
        </w:rPr>
        <w:t>philosophically inclined theorists of torts</w:t>
      </w:r>
      <w:r w:rsidR="00BD6F19">
        <w:rPr>
          <w:rFonts w:asciiTheme="minorHAnsi" w:hAnsiTheme="minorHAnsi"/>
        </w:rPr>
        <w:t>, however,</w:t>
      </w:r>
      <w:r w:rsidR="000B5F03">
        <w:rPr>
          <w:rFonts w:asciiTheme="minorHAnsi" w:hAnsiTheme="minorHAnsi"/>
        </w:rPr>
        <w:t xml:space="preserve"> and</w:t>
      </w:r>
      <w:r>
        <w:rPr>
          <w:rFonts w:asciiTheme="minorHAnsi" w:hAnsiTheme="minorHAnsi"/>
        </w:rPr>
        <w:t xml:space="preserve"> </w:t>
      </w:r>
      <w:r w:rsidR="0083378C">
        <w:rPr>
          <w:rFonts w:asciiTheme="minorHAnsi" w:hAnsiTheme="minorHAnsi"/>
        </w:rPr>
        <w:t xml:space="preserve">derided as irrational </w:t>
      </w:r>
      <w:r>
        <w:rPr>
          <w:rFonts w:asciiTheme="minorHAnsi" w:hAnsiTheme="minorHAnsi"/>
        </w:rPr>
        <w:t xml:space="preserve">by law and economics scholars. </w:t>
      </w:r>
      <w:r w:rsidR="0083378C">
        <w:rPr>
          <w:rFonts w:asciiTheme="minorHAnsi" w:hAnsiTheme="minorHAnsi"/>
        </w:rPr>
        <w:t>The</w:t>
      </w:r>
      <w:r w:rsidR="000B5F03">
        <w:rPr>
          <w:rFonts w:asciiTheme="minorHAnsi" w:hAnsiTheme="minorHAnsi"/>
        </w:rPr>
        <w:t xml:space="preserve">se </w:t>
      </w:r>
      <w:r w:rsidR="00956E65">
        <w:rPr>
          <w:rFonts w:asciiTheme="minorHAnsi" w:hAnsiTheme="minorHAnsi"/>
        </w:rPr>
        <w:t xml:space="preserve">stringent </w:t>
      </w:r>
      <w:r w:rsidR="000B5F03">
        <w:rPr>
          <w:rFonts w:asciiTheme="minorHAnsi" w:hAnsiTheme="minorHAnsi"/>
        </w:rPr>
        <w:t>standards</w:t>
      </w:r>
      <w:r w:rsidR="0083378C">
        <w:rPr>
          <w:rFonts w:asciiTheme="minorHAnsi" w:hAnsiTheme="minorHAnsi"/>
        </w:rPr>
        <w:t xml:space="preserve"> </w:t>
      </w:r>
      <w:r w:rsidR="00956E65">
        <w:rPr>
          <w:rFonts w:asciiTheme="minorHAnsi" w:hAnsiTheme="minorHAnsi"/>
        </w:rPr>
        <w:t xml:space="preserve">of precaution </w:t>
      </w:r>
      <w:r w:rsidR="0083378C">
        <w:rPr>
          <w:rFonts w:asciiTheme="minorHAnsi" w:hAnsiTheme="minorHAnsi"/>
        </w:rPr>
        <w:t xml:space="preserve">deserve both more attention and more respect. </w:t>
      </w:r>
      <w:r w:rsidR="00956E65">
        <w:rPr>
          <w:rFonts w:asciiTheme="minorHAnsi" w:hAnsiTheme="minorHAnsi"/>
        </w:rPr>
        <w:t xml:space="preserve">Economic analysis </w:t>
      </w:r>
      <w:r w:rsidR="00B802D1">
        <w:rPr>
          <w:rFonts w:asciiTheme="minorHAnsi" w:hAnsiTheme="minorHAnsi"/>
        </w:rPr>
        <w:t xml:space="preserve">condemns them </w:t>
      </w:r>
      <w:r w:rsidR="00956E65">
        <w:rPr>
          <w:rFonts w:asciiTheme="minorHAnsi" w:hAnsiTheme="minorHAnsi"/>
        </w:rPr>
        <w:t xml:space="preserve">as irrational exercises in preferring states of the world with less wealth—and therefore less in the way of possible welfare—to states of the world with more wealth and more possible welfare. </w:t>
      </w:r>
      <w:r w:rsidR="00B802D1">
        <w:rPr>
          <w:rFonts w:asciiTheme="minorHAnsi" w:hAnsiTheme="minorHAnsi"/>
        </w:rPr>
        <w:t>Deontology sees matters differently. When we</w:t>
      </w:r>
      <w:r w:rsidR="00956E65">
        <w:rPr>
          <w:rFonts w:asciiTheme="minorHAnsi" w:hAnsiTheme="minorHAnsi"/>
        </w:rPr>
        <w:t xml:space="preserve"> take the distinctions among persons seriously—and put the relations among persons at </w:t>
      </w:r>
      <w:r w:rsidR="00B802D1">
        <w:rPr>
          <w:rFonts w:asciiTheme="minorHAnsi" w:hAnsiTheme="minorHAnsi"/>
        </w:rPr>
        <w:t>the center of our view</w:t>
      </w:r>
      <w:r w:rsidR="00956E65">
        <w:rPr>
          <w:rFonts w:asciiTheme="minorHAnsi" w:hAnsiTheme="minorHAnsi"/>
        </w:rPr>
        <w:t>—</w:t>
      </w:r>
      <w:r w:rsidR="00B802D1">
        <w:rPr>
          <w:rFonts w:asciiTheme="minorHAnsi" w:hAnsiTheme="minorHAnsi"/>
        </w:rPr>
        <w:t xml:space="preserve">we see that </w:t>
      </w:r>
      <w:r w:rsidR="00956E65">
        <w:rPr>
          <w:rFonts w:asciiTheme="minorHAnsi" w:hAnsiTheme="minorHAnsi"/>
        </w:rPr>
        <w:t xml:space="preserve">harm has a special, negative moral significance and </w:t>
      </w:r>
      <w:r w:rsidR="009946E8">
        <w:rPr>
          <w:rFonts w:asciiTheme="minorHAnsi" w:hAnsiTheme="minorHAnsi"/>
        </w:rPr>
        <w:t xml:space="preserve">that harm’s </w:t>
      </w:r>
      <w:r w:rsidR="00956E65">
        <w:rPr>
          <w:rFonts w:asciiTheme="minorHAnsi" w:hAnsiTheme="minorHAnsi"/>
        </w:rPr>
        <w:t>avoidance has special priority. S</w:t>
      </w:r>
      <w:r w:rsidR="00C16A1A">
        <w:rPr>
          <w:rFonts w:asciiTheme="minorHAnsi" w:hAnsiTheme="minorHAnsi"/>
        </w:rPr>
        <w:t xml:space="preserve">ecurity </w:t>
      </w:r>
      <w:r w:rsidR="00B802D1">
        <w:rPr>
          <w:rFonts w:asciiTheme="minorHAnsi" w:hAnsiTheme="minorHAnsi"/>
        </w:rPr>
        <w:t xml:space="preserve">(or safety) </w:t>
      </w:r>
      <w:r w:rsidR="00C16A1A">
        <w:rPr>
          <w:rFonts w:asciiTheme="minorHAnsi" w:hAnsiTheme="minorHAnsi"/>
        </w:rPr>
        <w:t xml:space="preserve">is </w:t>
      </w:r>
      <w:r w:rsidR="0012666B">
        <w:rPr>
          <w:rFonts w:asciiTheme="minorHAnsi" w:hAnsiTheme="minorHAnsi"/>
        </w:rPr>
        <w:t xml:space="preserve">a kind of </w:t>
      </w:r>
      <w:r w:rsidR="00105D61">
        <w:rPr>
          <w:rFonts w:asciiTheme="minorHAnsi" w:hAnsiTheme="minorHAnsi"/>
        </w:rPr>
        <w:t xml:space="preserve">Rawlsian </w:t>
      </w:r>
      <w:r w:rsidR="0012666B">
        <w:rPr>
          <w:rFonts w:asciiTheme="minorHAnsi" w:hAnsiTheme="minorHAnsi"/>
        </w:rPr>
        <w:t>primary good</w:t>
      </w:r>
      <w:r w:rsidR="00B802D1">
        <w:rPr>
          <w:rFonts w:asciiTheme="minorHAnsi" w:hAnsiTheme="minorHAnsi"/>
        </w:rPr>
        <w:t xml:space="preserve">; it is an essential condition of effective agency. </w:t>
      </w:r>
      <w:r w:rsidR="00BD6F19">
        <w:rPr>
          <w:rFonts w:asciiTheme="minorHAnsi" w:hAnsiTheme="minorHAnsi"/>
        </w:rPr>
        <w:t>Unlike financial “losses” and ordinary “costs</w:t>
      </w:r>
      <w:r w:rsidR="00152004">
        <w:rPr>
          <w:rFonts w:asciiTheme="minorHAnsi" w:hAnsiTheme="minorHAnsi"/>
        </w:rPr>
        <w:t>,</w:t>
      </w:r>
      <w:r w:rsidR="00BD6F19">
        <w:rPr>
          <w:rFonts w:asciiTheme="minorHAnsi" w:hAnsiTheme="minorHAnsi"/>
        </w:rPr>
        <w:t xml:space="preserve">” physical harms impair our basic powers of agency. </w:t>
      </w:r>
      <w:r w:rsidR="009946E8">
        <w:rPr>
          <w:rFonts w:asciiTheme="minorHAnsi" w:hAnsiTheme="minorHAnsi"/>
        </w:rPr>
        <w:t>Physical harm diminishes our power to work our wills on the world. D</w:t>
      </w:r>
      <w:r w:rsidR="00BD6F19">
        <w:rPr>
          <w:rFonts w:asciiTheme="minorHAnsi" w:hAnsiTheme="minorHAnsi"/>
        </w:rPr>
        <w:t>evastating, i</w:t>
      </w:r>
      <w:r w:rsidR="00B802D1">
        <w:rPr>
          <w:rFonts w:asciiTheme="minorHAnsi" w:hAnsiTheme="minorHAnsi"/>
        </w:rPr>
        <w:t>rreparable</w:t>
      </w:r>
      <w:r w:rsidR="00BD6F19">
        <w:rPr>
          <w:rFonts w:asciiTheme="minorHAnsi" w:hAnsiTheme="minorHAnsi"/>
        </w:rPr>
        <w:t xml:space="preserve"> injury </w:t>
      </w:r>
      <w:r w:rsidR="009946E8">
        <w:rPr>
          <w:rFonts w:asciiTheme="minorHAnsi" w:hAnsiTheme="minorHAnsi"/>
        </w:rPr>
        <w:t xml:space="preserve">permanently and profoundly diminishes that power and may even extinguish it entirely. </w:t>
      </w:r>
      <w:r w:rsidR="00BD6F19">
        <w:rPr>
          <w:rFonts w:asciiTheme="minorHAnsi" w:hAnsiTheme="minorHAnsi"/>
        </w:rPr>
        <w:t xml:space="preserve">Legal standards </w:t>
      </w:r>
      <w:r w:rsidR="00C8685E">
        <w:rPr>
          <w:rFonts w:asciiTheme="minorHAnsi" w:hAnsiTheme="minorHAnsi"/>
        </w:rPr>
        <w:t>that</w:t>
      </w:r>
      <w:r w:rsidR="00BD6F19">
        <w:rPr>
          <w:rFonts w:asciiTheme="minorHAnsi" w:hAnsiTheme="minorHAnsi"/>
        </w:rPr>
        <w:t xml:space="preserve"> require more than cost-justified precaution respond appropriate</w:t>
      </w:r>
      <w:r w:rsidR="009946E8">
        <w:rPr>
          <w:rFonts w:asciiTheme="minorHAnsi" w:hAnsiTheme="minorHAnsi"/>
        </w:rPr>
        <w:t>ly—not irrationally—</w:t>
      </w:r>
      <w:r w:rsidR="00BD6F19">
        <w:rPr>
          <w:rFonts w:asciiTheme="minorHAnsi" w:hAnsiTheme="minorHAnsi"/>
        </w:rPr>
        <w:t xml:space="preserve">to significant </w:t>
      </w:r>
      <w:r w:rsidR="0083378C">
        <w:rPr>
          <w:rFonts w:asciiTheme="minorHAnsi" w:hAnsiTheme="minorHAnsi"/>
        </w:rPr>
        <w:t>risks of se</w:t>
      </w:r>
      <w:r w:rsidR="009946E8">
        <w:rPr>
          <w:rFonts w:asciiTheme="minorHAnsi" w:hAnsiTheme="minorHAnsi"/>
        </w:rPr>
        <w:t xml:space="preserve">vere </w:t>
      </w:r>
      <w:r w:rsidR="0083378C">
        <w:rPr>
          <w:rFonts w:asciiTheme="minorHAnsi" w:hAnsiTheme="minorHAnsi"/>
        </w:rPr>
        <w:t xml:space="preserve">and </w:t>
      </w:r>
      <w:r w:rsidR="009946E8">
        <w:rPr>
          <w:rFonts w:asciiTheme="minorHAnsi" w:hAnsiTheme="minorHAnsi"/>
        </w:rPr>
        <w:t>irreversible</w:t>
      </w:r>
      <w:r w:rsidR="0083378C">
        <w:rPr>
          <w:rFonts w:asciiTheme="minorHAnsi" w:hAnsiTheme="minorHAnsi"/>
        </w:rPr>
        <w:t xml:space="preserve"> injury.</w:t>
      </w:r>
      <w:r w:rsidR="004760C0">
        <w:rPr>
          <w:rFonts w:asciiTheme="minorHAnsi" w:hAnsiTheme="minorHAnsi"/>
        </w:rPr>
        <w:t xml:space="preserve"> </w:t>
      </w:r>
      <w:r w:rsidR="003E0F99">
        <w:rPr>
          <w:rFonts w:asciiTheme="minorHAnsi" w:hAnsiTheme="minorHAnsi"/>
        </w:rPr>
        <w:t xml:space="preserve">  </w:t>
      </w:r>
      <w:r w:rsidR="00105D61">
        <w:rPr>
          <w:rFonts w:asciiTheme="minorHAnsi" w:hAnsiTheme="minorHAnsi"/>
        </w:rPr>
        <w:t xml:space="preserve"> </w:t>
      </w:r>
    </w:p>
    <w:p w14:paraId="0AD91A08" w14:textId="0AAA7FCC" w:rsidR="00F856E9" w:rsidRPr="00CA036C" w:rsidRDefault="003127E1" w:rsidP="00CA036C">
      <w:pPr>
        <w:autoSpaceDE w:val="0"/>
        <w:autoSpaceDN w:val="0"/>
        <w:adjustRightInd w:val="0"/>
        <w:spacing w:before="120" w:line="276" w:lineRule="auto"/>
        <w:ind w:left="1260" w:hanging="720"/>
        <w:contextualSpacing/>
        <w:jc w:val="both"/>
        <w:rPr>
          <w:rFonts w:ascii="Garamond" w:eastAsia="Calibri" w:hAnsi="Garamond"/>
          <w:sz w:val="26"/>
          <w:szCs w:val="26"/>
          <w:lang w:eastAsia="en-US"/>
        </w:rPr>
      </w:pPr>
      <w:r w:rsidRPr="00CA036C">
        <w:rPr>
          <w:rFonts w:ascii="Garamond" w:eastAsia="Calibri" w:hAnsi="Garamond"/>
          <w:b/>
          <w:bCs/>
          <w:sz w:val="26"/>
          <w:szCs w:val="26"/>
          <w:lang w:eastAsia="en-US"/>
        </w:rPr>
        <w:t>I.</w:t>
      </w:r>
      <w:r w:rsidRPr="00CA036C">
        <w:rPr>
          <w:rFonts w:ascii="Garamond" w:eastAsia="Calibri" w:hAnsi="Garamond"/>
          <w:b/>
          <w:bCs/>
          <w:sz w:val="26"/>
          <w:szCs w:val="26"/>
          <w:lang w:eastAsia="en-US"/>
        </w:rPr>
        <w:tab/>
      </w:r>
      <w:r w:rsidR="00163509" w:rsidRPr="00CA036C">
        <w:rPr>
          <w:rFonts w:ascii="Garamond" w:eastAsia="Calibri" w:hAnsi="Garamond"/>
          <w:b/>
          <w:bCs/>
          <w:sz w:val="26"/>
          <w:szCs w:val="26"/>
          <w:lang w:eastAsia="en-US"/>
        </w:rPr>
        <w:t>The Priority of Avoiding Harm</w:t>
      </w:r>
    </w:p>
    <w:p w14:paraId="1D17E5E9" w14:textId="00AE4434" w:rsidR="00FF5085" w:rsidRDefault="003430B6" w:rsidP="00EC12AB">
      <w:pPr>
        <w:jc w:val="both"/>
        <w:rPr>
          <w:rFonts w:asciiTheme="minorHAnsi" w:hAnsiTheme="minorHAnsi"/>
        </w:rPr>
      </w:pPr>
      <w:r>
        <w:rPr>
          <w:rFonts w:asciiTheme="minorHAnsi" w:hAnsiTheme="minorHAnsi"/>
        </w:rPr>
        <w:t>I</w:t>
      </w:r>
      <w:r w:rsidR="001D4DED">
        <w:rPr>
          <w:rFonts w:asciiTheme="minorHAnsi" w:hAnsiTheme="minorHAnsi"/>
        </w:rPr>
        <w:t xml:space="preserve">n one of his </w:t>
      </w:r>
      <w:r w:rsidR="00105D61">
        <w:rPr>
          <w:rFonts w:asciiTheme="minorHAnsi" w:hAnsiTheme="minorHAnsi"/>
        </w:rPr>
        <w:t xml:space="preserve">New York Times </w:t>
      </w:r>
      <w:r w:rsidR="001D4DED">
        <w:rPr>
          <w:rFonts w:asciiTheme="minorHAnsi" w:hAnsiTheme="minorHAnsi"/>
        </w:rPr>
        <w:t>columns</w:t>
      </w:r>
      <w:r w:rsidR="001054CD">
        <w:rPr>
          <w:rFonts w:asciiTheme="minorHAnsi" w:hAnsiTheme="minorHAnsi"/>
        </w:rPr>
        <w:t>,</w:t>
      </w:r>
      <w:r w:rsidR="00C4370A">
        <w:rPr>
          <w:rFonts w:asciiTheme="minorHAnsi" w:hAnsiTheme="minorHAnsi"/>
        </w:rPr>
        <w:t xml:space="preserve"> the economist Paul Krugman </w:t>
      </w:r>
      <w:r w:rsidR="002F47A3">
        <w:rPr>
          <w:rFonts w:asciiTheme="minorHAnsi" w:hAnsiTheme="minorHAnsi"/>
        </w:rPr>
        <w:t>remark</w:t>
      </w:r>
      <w:r w:rsidR="00105D61">
        <w:rPr>
          <w:rFonts w:asciiTheme="minorHAnsi" w:hAnsiTheme="minorHAnsi"/>
        </w:rPr>
        <w:t xml:space="preserve">s </w:t>
      </w:r>
      <w:r w:rsidR="00C4370A">
        <w:rPr>
          <w:rFonts w:asciiTheme="minorHAnsi" w:hAnsiTheme="minorHAnsi"/>
        </w:rPr>
        <w:t xml:space="preserve">that </w:t>
      </w:r>
      <w:r w:rsidR="00286605">
        <w:rPr>
          <w:rFonts w:asciiTheme="minorHAnsi" w:hAnsiTheme="minorHAnsi"/>
        </w:rPr>
        <w:t>“</w:t>
      </w:r>
      <w:r w:rsidR="00286605" w:rsidRPr="00286605">
        <w:rPr>
          <w:rFonts w:asciiTheme="minorHAnsi" w:hAnsiTheme="minorHAnsi"/>
        </w:rPr>
        <w:t xml:space="preserve">liberals don’t need to claim that their policies will produce spectacular growth. All they need to claim is feasibility: that we can do things like, say, </w:t>
      </w:r>
      <w:r w:rsidR="001B1658" w:rsidRPr="00286605">
        <w:rPr>
          <w:rFonts w:asciiTheme="minorHAnsi" w:hAnsiTheme="minorHAnsi"/>
        </w:rPr>
        <w:t>guaranteeing</w:t>
      </w:r>
      <w:r w:rsidR="00286605" w:rsidRPr="00286605">
        <w:rPr>
          <w:rFonts w:asciiTheme="minorHAnsi" w:hAnsiTheme="minorHAnsi"/>
        </w:rPr>
        <w:t xml:space="preserve"> health insurance to everyone without killing the economy</w:t>
      </w:r>
      <w:r w:rsidR="00286605">
        <w:rPr>
          <w:rFonts w:asciiTheme="minorHAnsi" w:hAnsiTheme="minorHAnsi"/>
        </w:rPr>
        <w:t>.”</w:t>
      </w:r>
      <w:bookmarkStart w:id="4" w:name="_Ref433447098"/>
      <w:r w:rsidR="00286605" w:rsidRPr="00286605">
        <w:rPr>
          <w:rFonts w:asciiTheme="minorHAnsi" w:hAnsiTheme="minorHAnsi"/>
          <w:vertAlign w:val="superscript"/>
        </w:rPr>
        <w:footnoteReference w:id="30"/>
      </w:r>
      <w:bookmarkEnd w:id="4"/>
      <w:r w:rsidR="00286605" w:rsidRPr="00286605">
        <w:rPr>
          <w:rFonts w:asciiTheme="minorHAnsi" w:hAnsiTheme="minorHAnsi"/>
        </w:rPr>
        <w:t xml:space="preserve"> </w:t>
      </w:r>
      <w:r w:rsidR="001054CD">
        <w:rPr>
          <w:rFonts w:asciiTheme="minorHAnsi" w:hAnsiTheme="minorHAnsi"/>
        </w:rPr>
        <w:t>Krugman’s</w:t>
      </w:r>
      <w:r w:rsidR="00DE5506">
        <w:rPr>
          <w:rFonts w:asciiTheme="minorHAnsi" w:hAnsiTheme="minorHAnsi"/>
        </w:rPr>
        <w:t xml:space="preserve"> </w:t>
      </w:r>
      <w:r w:rsidR="001054CD">
        <w:rPr>
          <w:rFonts w:asciiTheme="minorHAnsi" w:hAnsiTheme="minorHAnsi"/>
        </w:rPr>
        <w:t>belief tha</w:t>
      </w:r>
      <w:r w:rsidR="0037774B">
        <w:rPr>
          <w:rFonts w:asciiTheme="minorHAnsi" w:hAnsiTheme="minorHAnsi"/>
        </w:rPr>
        <w:t>t</w:t>
      </w:r>
      <w:r w:rsidR="001054CD">
        <w:rPr>
          <w:rFonts w:asciiTheme="minorHAnsi" w:hAnsiTheme="minorHAnsi"/>
        </w:rPr>
        <w:t xml:space="preserve"> providing everyone with </w:t>
      </w:r>
      <w:r w:rsidR="00C4370A">
        <w:rPr>
          <w:rFonts w:asciiTheme="minorHAnsi" w:hAnsiTheme="minorHAnsi"/>
        </w:rPr>
        <w:t xml:space="preserve">health insurance </w:t>
      </w:r>
      <w:r w:rsidR="00D0722F">
        <w:rPr>
          <w:rFonts w:asciiTheme="minorHAnsi" w:hAnsiTheme="minorHAnsi"/>
        </w:rPr>
        <w:t>is</w:t>
      </w:r>
      <w:r w:rsidR="00E379FB">
        <w:rPr>
          <w:rFonts w:asciiTheme="minorHAnsi" w:hAnsiTheme="minorHAnsi"/>
        </w:rPr>
        <w:t xml:space="preserve"> desirable unless </w:t>
      </w:r>
      <w:r w:rsidR="00E379FB">
        <w:rPr>
          <w:rFonts w:asciiTheme="minorHAnsi" w:hAnsiTheme="minorHAnsi"/>
        </w:rPr>
        <w:lastRenderedPageBreak/>
        <w:t xml:space="preserve">doing so would </w:t>
      </w:r>
      <w:r w:rsidR="001054CD">
        <w:rPr>
          <w:rFonts w:asciiTheme="minorHAnsi" w:hAnsiTheme="minorHAnsi"/>
        </w:rPr>
        <w:t xml:space="preserve">“kill the economy” </w:t>
      </w:r>
      <w:r w:rsidR="001E7384">
        <w:rPr>
          <w:rFonts w:asciiTheme="minorHAnsi" w:hAnsiTheme="minorHAnsi"/>
        </w:rPr>
        <w:t xml:space="preserve">expresses </w:t>
      </w:r>
      <w:r w:rsidR="006D1C8E">
        <w:rPr>
          <w:rFonts w:asciiTheme="minorHAnsi" w:hAnsiTheme="minorHAnsi"/>
        </w:rPr>
        <w:t>a commo</w:t>
      </w:r>
      <w:r w:rsidR="003A7D2C">
        <w:rPr>
          <w:rFonts w:asciiTheme="minorHAnsi" w:hAnsiTheme="minorHAnsi"/>
        </w:rPr>
        <w:t>n belief</w:t>
      </w:r>
      <w:r w:rsidR="006D1C8E">
        <w:rPr>
          <w:rFonts w:asciiTheme="minorHAnsi" w:hAnsiTheme="minorHAnsi"/>
        </w:rPr>
        <w:t xml:space="preserve">. </w:t>
      </w:r>
      <w:r w:rsidR="001E7384">
        <w:rPr>
          <w:rFonts w:asciiTheme="minorHAnsi" w:hAnsiTheme="minorHAnsi"/>
        </w:rPr>
        <w:t xml:space="preserve">Some </w:t>
      </w:r>
      <w:r w:rsidR="001B1658">
        <w:rPr>
          <w:rFonts w:asciiTheme="minorHAnsi" w:hAnsiTheme="minorHAnsi"/>
        </w:rPr>
        <w:t>goods should</w:t>
      </w:r>
      <w:r w:rsidR="00FB6324">
        <w:rPr>
          <w:rFonts w:asciiTheme="minorHAnsi" w:hAnsiTheme="minorHAnsi"/>
        </w:rPr>
        <w:t xml:space="preserve"> be provided to every</w:t>
      </w:r>
      <w:r w:rsidR="007F6AC1">
        <w:rPr>
          <w:rFonts w:asciiTheme="minorHAnsi" w:hAnsiTheme="minorHAnsi"/>
        </w:rPr>
        <w:t xml:space="preserve">one, </w:t>
      </w:r>
      <w:r w:rsidR="00B7548C">
        <w:rPr>
          <w:rFonts w:asciiTheme="minorHAnsi" w:hAnsiTheme="minorHAnsi"/>
        </w:rPr>
        <w:t>even</w:t>
      </w:r>
      <w:r w:rsidR="001054CD">
        <w:rPr>
          <w:rFonts w:asciiTheme="minorHAnsi" w:hAnsiTheme="minorHAnsi"/>
        </w:rPr>
        <w:t xml:space="preserve"> i</w:t>
      </w:r>
      <w:r w:rsidR="00E379FB">
        <w:rPr>
          <w:rFonts w:asciiTheme="minorHAnsi" w:hAnsiTheme="minorHAnsi"/>
        </w:rPr>
        <w:t xml:space="preserve">f their provision comes at a </w:t>
      </w:r>
      <w:r w:rsidR="001054CD">
        <w:rPr>
          <w:rFonts w:asciiTheme="minorHAnsi" w:hAnsiTheme="minorHAnsi"/>
        </w:rPr>
        <w:t xml:space="preserve">cost in </w:t>
      </w:r>
      <w:r w:rsidR="00046C00">
        <w:rPr>
          <w:rFonts w:asciiTheme="minorHAnsi" w:hAnsiTheme="minorHAnsi"/>
        </w:rPr>
        <w:t>economic efficiency.</w:t>
      </w:r>
      <w:r w:rsidR="00746D55">
        <w:rPr>
          <w:rFonts w:asciiTheme="minorHAnsi" w:hAnsiTheme="minorHAnsi"/>
        </w:rPr>
        <w:t xml:space="preserve"> </w:t>
      </w:r>
      <w:r w:rsidR="007F6AC1">
        <w:rPr>
          <w:rFonts w:asciiTheme="minorHAnsi" w:hAnsiTheme="minorHAnsi"/>
        </w:rPr>
        <w:t xml:space="preserve"> The goods in question </w:t>
      </w:r>
      <w:r w:rsidR="00516CFE" w:rsidRPr="00516CFE">
        <w:rPr>
          <w:rFonts w:asciiTheme="minorHAnsi" w:hAnsiTheme="minorHAnsi"/>
        </w:rPr>
        <w:t xml:space="preserve">are essential </w:t>
      </w:r>
      <w:r w:rsidR="00FB6324">
        <w:rPr>
          <w:rFonts w:asciiTheme="minorHAnsi" w:hAnsiTheme="minorHAnsi"/>
        </w:rPr>
        <w:t>t</w:t>
      </w:r>
      <w:r w:rsidR="00746D55">
        <w:rPr>
          <w:rFonts w:asciiTheme="minorHAnsi" w:hAnsiTheme="minorHAnsi"/>
        </w:rPr>
        <w:t>o lead</w:t>
      </w:r>
      <w:r w:rsidR="00FB6324">
        <w:rPr>
          <w:rFonts w:asciiTheme="minorHAnsi" w:hAnsiTheme="minorHAnsi"/>
        </w:rPr>
        <w:t>ing</w:t>
      </w:r>
      <w:r w:rsidR="00746D55">
        <w:rPr>
          <w:rFonts w:asciiTheme="minorHAnsi" w:hAnsiTheme="minorHAnsi"/>
        </w:rPr>
        <w:t xml:space="preserve"> decent</w:t>
      </w:r>
      <w:r w:rsidR="00516CFE">
        <w:rPr>
          <w:rFonts w:asciiTheme="minorHAnsi" w:hAnsiTheme="minorHAnsi"/>
        </w:rPr>
        <w:t>,</w:t>
      </w:r>
      <w:r w:rsidR="00746D55">
        <w:rPr>
          <w:rFonts w:asciiTheme="minorHAnsi" w:hAnsiTheme="minorHAnsi"/>
        </w:rPr>
        <w:t xml:space="preserve"> independent </w:t>
      </w:r>
      <w:r w:rsidR="00FB6324">
        <w:rPr>
          <w:rFonts w:asciiTheme="minorHAnsi" w:hAnsiTheme="minorHAnsi"/>
        </w:rPr>
        <w:t>lives</w:t>
      </w:r>
      <w:r w:rsidR="00AB0FDB">
        <w:rPr>
          <w:rFonts w:asciiTheme="minorHAnsi" w:hAnsiTheme="minorHAnsi"/>
        </w:rPr>
        <w:t>,</w:t>
      </w:r>
      <w:r w:rsidR="00FB6324">
        <w:rPr>
          <w:rFonts w:asciiTheme="minorHAnsi" w:hAnsiTheme="minorHAnsi"/>
        </w:rPr>
        <w:t xml:space="preserve"> and their provision therefore has a special priority.</w:t>
      </w:r>
      <w:r w:rsidR="007F6AC1">
        <w:rPr>
          <w:rFonts w:asciiTheme="minorHAnsi" w:hAnsiTheme="minorHAnsi"/>
        </w:rPr>
        <w:t xml:space="preserve"> </w:t>
      </w:r>
      <w:r w:rsidR="004D0DB5">
        <w:rPr>
          <w:rFonts w:asciiTheme="minorHAnsi" w:hAnsiTheme="minorHAnsi"/>
        </w:rPr>
        <w:t>P</w:t>
      </w:r>
      <w:r w:rsidR="00E379FB">
        <w:rPr>
          <w:rFonts w:asciiTheme="minorHAnsi" w:hAnsiTheme="minorHAnsi"/>
        </w:rPr>
        <w:t>hysical safety is</w:t>
      </w:r>
      <w:r w:rsidR="004D0DB5">
        <w:rPr>
          <w:rFonts w:asciiTheme="minorHAnsi" w:hAnsiTheme="minorHAnsi"/>
        </w:rPr>
        <w:t>, like health,</w:t>
      </w:r>
      <w:r w:rsidR="00E379FB">
        <w:rPr>
          <w:rFonts w:asciiTheme="minorHAnsi" w:hAnsiTheme="minorHAnsi"/>
        </w:rPr>
        <w:t xml:space="preserve"> a strong candidate </w:t>
      </w:r>
      <w:r w:rsidR="008A7EC0">
        <w:rPr>
          <w:rFonts w:asciiTheme="minorHAnsi" w:hAnsiTheme="minorHAnsi"/>
        </w:rPr>
        <w:t xml:space="preserve">for inclusion on a list of </w:t>
      </w:r>
      <w:r w:rsidR="00E379FB">
        <w:rPr>
          <w:rFonts w:asciiTheme="minorHAnsi" w:hAnsiTheme="minorHAnsi"/>
        </w:rPr>
        <w:t xml:space="preserve">the </w:t>
      </w:r>
      <w:r w:rsidR="008A7EC0">
        <w:rPr>
          <w:rFonts w:asciiTheme="minorHAnsi" w:hAnsiTheme="minorHAnsi"/>
        </w:rPr>
        <w:t xml:space="preserve">essential </w:t>
      </w:r>
      <w:r w:rsidR="00E379FB">
        <w:rPr>
          <w:rFonts w:asciiTheme="minorHAnsi" w:hAnsiTheme="minorHAnsi"/>
        </w:rPr>
        <w:t>conditions of</w:t>
      </w:r>
      <w:r w:rsidR="00FF5085">
        <w:rPr>
          <w:rFonts w:asciiTheme="minorHAnsi" w:hAnsiTheme="minorHAnsi"/>
        </w:rPr>
        <w:t xml:space="preserve"> a decent and independent life. A</w:t>
      </w:r>
      <w:r w:rsidR="00D767A1">
        <w:rPr>
          <w:rFonts w:asciiTheme="minorHAnsi" w:hAnsiTheme="minorHAnsi"/>
        </w:rPr>
        <w:t xml:space="preserve">ccidental injury </w:t>
      </w:r>
      <w:r w:rsidR="006B5E85" w:rsidRPr="006B5E85">
        <w:rPr>
          <w:rFonts w:asciiTheme="minorHAnsi" w:hAnsiTheme="minorHAnsi"/>
        </w:rPr>
        <w:t xml:space="preserve">can impair basic powers of agency as much as </w:t>
      </w:r>
      <w:r w:rsidR="006D1C8E">
        <w:rPr>
          <w:rFonts w:asciiTheme="minorHAnsi" w:hAnsiTheme="minorHAnsi"/>
        </w:rPr>
        <w:t xml:space="preserve">poor </w:t>
      </w:r>
      <w:r w:rsidR="00D767A1">
        <w:rPr>
          <w:rFonts w:asciiTheme="minorHAnsi" w:hAnsiTheme="minorHAnsi"/>
        </w:rPr>
        <w:t xml:space="preserve">health </w:t>
      </w:r>
      <w:r w:rsidR="006B5E85" w:rsidRPr="006B5E85">
        <w:rPr>
          <w:rFonts w:asciiTheme="minorHAnsi" w:hAnsiTheme="minorHAnsi"/>
        </w:rPr>
        <w:t xml:space="preserve">can. </w:t>
      </w:r>
      <w:r w:rsidR="001E7384">
        <w:rPr>
          <w:rFonts w:asciiTheme="minorHAnsi" w:hAnsiTheme="minorHAnsi"/>
        </w:rPr>
        <w:t>Unsurprisingly, a</w:t>
      </w:r>
      <w:r w:rsidR="006B5E85" w:rsidRPr="006B5E85">
        <w:rPr>
          <w:rFonts w:asciiTheme="minorHAnsi" w:hAnsiTheme="minorHAnsi"/>
        </w:rPr>
        <w:t xml:space="preserve">ssertions </w:t>
      </w:r>
      <w:r w:rsidR="00615417" w:rsidRPr="00615417">
        <w:rPr>
          <w:rFonts w:asciiTheme="minorHAnsi" w:hAnsiTheme="minorHAnsi"/>
        </w:rPr>
        <w:t xml:space="preserve">that safety has priority over </w:t>
      </w:r>
      <w:r w:rsidR="00D767A1">
        <w:rPr>
          <w:rFonts w:asciiTheme="minorHAnsi" w:hAnsiTheme="minorHAnsi"/>
        </w:rPr>
        <w:t xml:space="preserve">ordinary </w:t>
      </w:r>
      <w:r w:rsidR="00615417" w:rsidRPr="00615417">
        <w:rPr>
          <w:rFonts w:asciiTheme="minorHAnsi" w:hAnsiTheme="minorHAnsi"/>
        </w:rPr>
        <w:t>“needs and intere</w:t>
      </w:r>
      <w:r w:rsidR="00D767A1">
        <w:rPr>
          <w:rFonts w:asciiTheme="minorHAnsi" w:hAnsiTheme="minorHAnsi"/>
        </w:rPr>
        <w:t>sts” are commonplace in popular discourse</w:t>
      </w:r>
      <w:r w:rsidR="00615417" w:rsidRPr="00615417">
        <w:rPr>
          <w:rFonts w:asciiTheme="minorHAnsi" w:hAnsiTheme="minorHAnsi"/>
        </w:rPr>
        <w:t xml:space="preserve">. </w:t>
      </w:r>
      <w:r w:rsidR="003A7D2C">
        <w:rPr>
          <w:rFonts w:asciiTheme="minorHAnsi" w:hAnsiTheme="minorHAnsi"/>
        </w:rPr>
        <w:t xml:space="preserve">In commenting on self-driving cars, </w:t>
      </w:r>
      <w:r w:rsidR="001E7384">
        <w:rPr>
          <w:rFonts w:asciiTheme="minorHAnsi" w:hAnsiTheme="minorHAnsi"/>
        </w:rPr>
        <w:t xml:space="preserve">for instance, the editors of </w:t>
      </w:r>
      <w:r w:rsidR="001E7384" w:rsidRPr="003A7D2C">
        <w:rPr>
          <w:rFonts w:asciiTheme="minorHAnsi" w:hAnsiTheme="minorHAnsi"/>
          <w:i/>
        </w:rPr>
        <w:t>Consumer Reports</w:t>
      </w:r>
      <w:r w:rsidR="001E7384">
        <w:rPr>
          <w:rFonts w:asciiTheme="minorHAnsi" w:hAnsiTheme="minorHAnsi"/>
        </w:rPr>
        <w:t xml:space="preserve"> remark</w:t>
      </w:r>
      <w:r w:rsidR="003A7D2C">
        <w:rPr>
          <w:rFonts w:asciiTheme="minorHAnsi" w:hAnsiTheme="minorHAnsi"/>
        </w:rPr>
        <w:t xml:space="preserve"> that they</w:t>
      </w:r>
      <w:r w:rsidR="007F6AC1">
        <w:rPr>
          <w:rFonts w:asciiTheme="minorHAnsi" w:hAnsiTheme="minorHAnsi"/>
        </w:rPr>
        <w:t xml:space="preserve"> “</w:t>
      </w:r>
      <w:r w:rsidR="003A7D2C">
        <w:rPr>
          <w:rFonts w:asciiTheme="minorHAnsi" w:hAnsiTheme="minorHAnsi"/>
        </w:rPr>
        <w:t>support</w:t>
      </w:r>
      <w:r w:rsidR="00ED5AA4">
        <w:rPr>
          <w:rFonts w:asciiTheme="minorHAnsi" w:hAnsiTheme="minorHAnsi"/>
        </w:rPr>
        <w:t xml:space="preserve"> </w:t>
      </w:r>
      <w:r w:rsidR="007F6AC1" w:rsidRPr="007F6AC1">
        <w:rPr>
          <w:rFonts w:asciiTheme="minorHAnsi" w:hAnsiTheme="minorHAnsi"/>
        </w:rPr>
        <w:t>any new technology that advances the needs and interests of consumers, but at CR, we’re always going to make safety our priority.”</w:t>
      </w:r>
      <w:r w:rsidR="007F6AC1" w:rsidRPr="007F6AC1">
        <w:rPr>
          <w:rFonts w:asciiTheme="minorHAnsi" w:hAnsiTheme="minorHAnsi"/>
          <w:vertAlign w:val="superscript"/>
        </w:rPr>
        <w:t xml:space="preserve"> </w:t>
      </w:r>
      <w:r w:rsidR="007F6AC1" w:rsidRPr="007F6AC1">
        <w:rPr>
          <w:rFonts w:asciiTheme="minorHAnsi" w:hAnsiTheme="minorHAnsi"/>
          <w:vertAlign w:val="superscript"/>
        </w:rPr>
        <w:footnoteReference w:id="31"/>
      </w:r>
      <w:r w:rsidR="007F6AC1">
        <w:rPr>
          <w:rFonts w:asciiTheme="minorHAnsi" w:hAnsiTheme="minorHAnsi"/>
        </w:rPr>
        <w:t xml:space="preserve">  </w:t>
      </w:r>
      <w:r w:rsidR="001E7384">
        <w:rPr>
          <w:rFonts w:asciiTheme="minorHAnsi" w:hAnsiTheme="minorHAnsi"/>
        </w:rPr>
        <w:t xml:space="preserve"> </w:t>
      </w:r>
    </w:p>
    <w:p w14:paraId="1FA68F38" w14:textId="5CAC095C" w:rsidR="00302D17" w:rsidRDefault="003A7D2C" w:rsidP="00EC12AB">
      <w:pPr>
        <w:jc w:val="both"/>
        <w:rPr>
          <w:rFonts w:asciiTheme="minorHAnsi" w:hAnsiTheme="minorHAnsi"/>
        </w:rPr>
      </w:pPr>
      <w:r>
        <w:rPr>
          <w:rFonts w:asciiTheme="minorHAnsi" w:hAnsiTheme="minorHAnsi"/>
        </w:rPr>
        <w:t xml:space="preserve">Because safety </w:t>
      </w:r>
      <w:r w:rsidR="00A6539A">
        <w:rPr>
          <w:rFonts w:asciiTheme="minorHAnsi" w:hAnsiTheme="minorHAnsi"/>
        </w:rPr>
        <w:t xml:space="preserve">has a claim </w:t>
      </w:r>
      <w:r w:rsidR="00753156">
        <w:rPr>
          <w:rFonts w:asciiTheme="minorHAnsi" w:hAnsiTheme="minorHAnsi"/>
        </w:rPr>
        <w:t xml:space="preserve">to be </w:t>
      </w:r>
      <w:r w:rsidR="00A6539A">
        <w:rPr>
          <w:rFonts w:asciiTheme="minorHAnsi" w:hAnsiTheme="minorHAnsi"/>
        </w:rPr>
        <w:t xml:space="preserve">an </w:t>
      </w:r>
      <w:r w:rsidR="00753156">
        <w:rPr>
          <w:rFonts w:asciiTheme="minorHAnsi" w:hAnsiTheme="minorHAnsi"/>
        </w:rPr>
        <w:t xml:space="preserve">essential condition of </w:t>
      </w:r>
      <w:r>
        <w:rPr>
          <w:rFonts w:asciiTheme="minorHAnsi" w:hAnsiTheme="minorHAnsi"/>
        </w:rPr>
        <w:t>effective agency</w:t>
      </w:r>
      <w:r w:rsidR="00AB0FDB">
        <w:rPr>
          <w:rFonts w:asciiTheme="minorHAnsi" w:hAnsiTheme="minorHAnsi"/>
        </w:rPr>
        <w:t>,</w:t>
      </w:r>
      <w:r>
        <w:rPr>
          <w:rFonts w:asciiTheme="minorHAnsi" w:hAnsiTheme="minorHAnsi"/>
        </w:rPr>
        <w:t xml:space="preserve"> </w:t>
      </w:r>
      <w:r w:rsidR="00B13B57">
        <w:rPr>
          <w:rFonts w:asciiTheme="minorHAnsi" w:hAnsiTheme="minorHAnsi"/>
        </w:rPr>
        <w:t xml:space="preserve">one </w:t>
      </w:r>
      <w:r w:rsidR="00C808DC">
        <w:rPr>
          <w:rFonts w:asciiTheme="minorHAnsi" w:hAnsiTheme="minorHAnsi"/>
        </w:rPr>
        <w:t xml:space="preserve">might </w:t>
      </w:r>
      <w:r w:rsidR="008A7EC0">
        <w:rPr>
          <w:rFonts w:asciiTheme="minorHAnsi" w:hAnsiTheme="minorHAnsi"/>
        </w:rPr>
        <w:t>expect to find a</w:t>
      </w:r>
      <w:r>
        <w:rPr>
          <w:rFonts w:asciiTheme="minorHAnsi" w:hAnsiTheme="minorHAnsi"/>
        </w:rPr>
        <w:t xml:space="preserve"> vigorous</w:t>
      </w:r>
      <w:r w:rsidR="008A7EC0">
        <w:rPr>
          <w:rFonts w:asciiTheme="minorHAnsi" w:hAnsiTheme="minorHAnsi"/>
        </w:rPr>
        <w:t xml:space="preserve"> debate in </w:t>
      </w:r>
      <w:r w:rsidR="00AC15D1">
        <w:rPr>
          <w:rFonts w:asciiTheme="minorHAnsi" w:hAnsiTheme="minorHAnsi"/>
        </w:rPr>
        <w:t xml:space="preserve">the </w:t>
      </w:r>
      <w:r w:rsidR="008A7EC0">
        <w:rPr>
          <w:rFonts w:asciiTheme="minorHAnsi" w:hAnsiTheme="minorHAnsi"/>
        </w:rPr>
        <w:t xml:space="preserve">legal literature on risk </w:t>
      </w:r>
      <w:r w:rsidR="00650340">
        <w:rPr>
          <w:rFonts w:asciiTheme="minorHAnsi" w:hAnsiTheme="minorHAnsi"/>
        </w:rPr>
        <w:t xml:space="preserve">and precaution </w:t>
      </w:r>
      <w:r w:rsidR="008A7EC0">
        <w:rPr>
          <w:rFonts w:asciiTheme="minorHAnsi" w:hAnsiTheme="minorHAnsi"/>
        </w:rPr>
        <w:t xml:space="preserve">over whether or not </w:t>
      </w:r>
      <w:r w:rsidR="00753156">
        <w:rPr>
          <w:rFonts w:asciiTheme="minorHAnsi" w:hAnsiTheme="minorHAnsi"/>
        </w:rPr>
        <w:t xml:space="preserve">safety </w:t>
      </w:r>
      <w:r w:rsidR="00AC15D1">
        <w:rPr>
          <w:rFonts w:asciiTheme="minorHAnsi" w:hAnsiTheme="minorHAnsi"/>
        </w:rPr>
        <w:t xml:space="preserve">should be </w:t>
      </w:r>
      <w:r w:rsidR="008A7EC0">
        <w:rPr>
          <w:rFonts w:asciiTheme="minorHAnsi" w:hAnsiTheme="minorHAnsi"/>
        </w:rPr>
        <w:t>prioritize</w:t>
      </w:r>
      <w:r w:rsidR="00AC15D1">
        <w:rPr>
          <w:rFonts w:asciiTheme="minorHAnsi" w:hAnsiTheme="minorHAnsi"/>
        </w:rPr>
        <w:t>d</w:t>
      </w:r>
      <w:r w:rsidR="008A7EC0">
        <w:rPr>
          <w:rFonts w:asciiTheme="minorHAnsi" w:hAnsiTheme="minorHAnsi"/>
        </w:rPr>
        <w:t xml:space="preserve"> over efficien</w:t>
      </w:r>
      <w:r>
        <w:rPr>
          <w:rFonts w:asciiTheme="minorHAnsi" w:hAnsiTheme="minorHAnsi"/>
        </w:rPr>
        <w:t>cy</w:t>
      </w:r>
      <w:r w:rsidR="008A7EC0">
        <w:rPr>
          <w:rFonts w:asciiTheme="minorHAnsi" w:hAnsiTheme="minorHAnsi"/>
        </w:rPr>
        <w:t xml:space="preserve">. </w:t>
      </w:r>
      <w:r w:rsidR="006A1F53">
        <w:rPr>
          <w:rFonts w:ascii="Garamond" w:hAnsi="Garamond"/>
          <w:color w:val="000000"/>
        </w:rPr>
        <w:t xml:space="preserve">Prominent federal statutes </w:t>
      </w:r>
      <w:r w:rsidR="00431BA0">
        <w:rPr>
          <w:rFonts w:ascii="Garamond" w:hAnsi="Garamond"/>
          <w:color w:val="000000"/>
        </w:rPr>
        <w:t>take this very position</w:t>
      </w:r>
      <w:r w:rsidR="00753156">
        <w:rPr>
          <w:rFonts w:ascii="Garamond" w:hAnsi="Garamond"/>
          <w:color w:val="000000"/>
        </w:rPr>
        <w:t>,</w:t>
      </w:r>
      <w:r>
        <w:rPr>
          <w:rFonts w:ascii="Garamond" w:hAnsi="Garamond"/>
          <w:color w:val="000000"/>
        </w:rPr>
        <w:t xml:space="preserve"> enjoining either that activities be made “safe” or requiring </w:t>
      </w:r>
      <w:r w:rsidR="006A1F53">
        <w:rPr>
          <w:rFonts w:ascii="Garamond" w:hAnsi="Garamond"/>
          <w:color w:val="000000"/>
        </w:rPr>
        <w:t>that the risks of certain activities be reduced as far as it</w:t>
      </w:r>
      <w:r w:rsidR="0037774B">
        <w:rPr>
          <w:rFonts w:ascii="Garamond" w:hAnsi="Garamond"/>
          <w:color w:val="000000"/>
        </w:rPr>
        <w:t xml:space="preserve"> is</w:t>
      </w:r>
      <w:r w:rsidR="006A1F53">
        <w:rPr>
          <w:rFonts w:ascii="Garamond" w:hAnsi="Garamond"/>
          <w:color w:val="000000"/>
        </w:rPr>
        <w:t xml:space="preserve"> “feasible” to do so</w:t>
      </w:r>
      <w:r w:rsidR="00147C60">
        <w:rPr>
          <w:rFonts w:ascii="Garamond" w:hAnsi="Garamond"/>
          <w:color w:val="000000"/>
        </w:rPr>
        <w:t>.</w:t>
      </w:r>
      <w:r w:rsidR="006A1F53">
        <w:rPr>
          <w:rFonts w:ascii="Garamond" w:hAnsi="Garamond"/>
          <w:color w:val="000000"/>
        </w:rPr>
        <w:t xml:space="preserve"> </w:t>
      </w:r>
      <w:r w:rsidR="00753156">
        <w:rPr>
          <w:rFonts w:ascii="Garamond" w:hAnsi="Garamond"/>
          <w:color w:val="000000"/>
        </w:rPr>
        <w:t xml:space="preserve">By “feasible” </w:t>
      </w:r>
      <w:r>
        <w:rPr>
          <w:rFonts w:ascii="Garamond" w:hAnsi="Garamond"/>
          <w:color w:val="000000"/>
        </w:rPr>
        <w:t>they mean exactly what Krugman means. T</w:t>
      </w:r>
      <w:r w:rsidR="006A1F53">
        <w:rPr>
          <w:rFonts w:ascii="Garamond" w:hAnsi="Garamond"/>
          <w:color w:val="000000"/>
        </w:rPr>
        <w:t>he risks in question</w:t>
      </w:r>
      <w:r>
        <w:rPr>
          <w:rFonts w:ascii="Garamond" w:hAnsi="Garamond"/>
          <w:color w:val="000000"/>
        </w:rPr>
        <w:t xml:space="preserve"> should</w:t>
      </w:r>
      <w:r w:rsidR="006A1F53">
        <w:rPr>
          <w:rFonts w:ascii="Garamond" w:hAnsi="Garamond"/>
          <w:color w:val="000000"/>
        </w:rPr>
        <w:t xml:space="preserve"> be reduce</w:t>
      </w:r>
      <w:r w:rsidR="0037774B">
        <w:rPr>
          <w:rFonts w:ascii="Garamond" w:hAnsi="Garamond"/>
          <w:color w:val="000000"/>
        </w:rPr>
        <w:t>d</w:t>
      </w:r>
      <w:r w:rsidR="006A1F53">
        <w:rPr>
          <w:rFonts w:ascii="Garamond" w:hAnsi="Garamond"/>
          <w:color w:val="000000"/>
        </w:rPr>
        <w:t xml:space="preserve"> as far as possible without “killing the activity” in question.</w:t>
      </w:r>
      <w:r w:rsidR="006A1F53">
        <w:rPr>
          <w:rStyle w:val="FootnoteReference"/>
          <w:rFonts w:ascii="Garamond" w:hAnsi="Garamond"/>
          <w:color w:val="000000"/>
        </w:rPr>
        <w:footnoteReference w:id="32"/>
      </w:r>
      <w:r w:rsidR="00431BA0" w:rsidRPr="00431BA0">
        <w:rPr>
          <w:rFonts w:asciiTheme="minorHAnsi" w:hAnsiTheme="minorHAnsi"/>
        </w:rPr>
        <w:t xml:space="preserve"> </w:t>
      </w:r>
      <w:r>
        <w:rPr>
          <w:rFonts w:asciiTheme="minorHAnsi" w:hAnsiTheme="minorHAnsi"/>
        </w:rPr>
        <w:t xml:space="preserve">A </w:t>
      </w:r>
      <w:r w:rsidR="00431BA0" w:rsidRPr="00431BA0">
        <w:rPr>
          <w:rFonts w:ascii="Garamond" w:hAnsi="Garamond"/>
          <w:color w:val="000000"/>
        </w:rPr>
        <w:t>chorus of cont</w:t>
      </w:r>
      <w:r w:rsidR="006D1C8E">
        <w:rPr>
          <w:rFonts w:ascii="Garamond" w:hAnsi="Garamond"/>
          <w:color w:val="000000"/>
        </w:rPr>
        <w:t xml:space="preserve">emporary commentators </w:t>
      </w:r>
      <w:r>
        <w:rPr>
          <w:rFonts w:ascii="Garamond" w:hAnsi="Garamond"/>
          <w:color w:val="000000"/>
        </w:rPr>
        <w:t xml:space="preserve">insists, however, that </w:t>
      </w:r>
      <w:r w:rsidR="00753156">
        <w:rPr>
          <w:rFonts w:ascii="Garamond" w:hAnsi="Garamond"/>
          <w:color w:val="000000"/>
        </w:rPr>
        <w:t>there is no debate to be had. S</w:t>
      </w:r>
      <w:r>
        <w:rPr>
          <w:rFonts w:ascii="Garamond" w:hAnsi="Garamond"/>
          <w:color w:val="000000"/>
        </w:rPr>
        <w:t xml:space="preserve">afety- and feasibility-based risk regulation are </w:t>
      </w:r>
      <w:r w:rsidR="00753156">
        <w:rPr>
          <w:rFonts w:ascii="Garamond" w:hAnsi="Garamond"/>
          <w:color w:val="000000"/>
        </w:rPr>
        <w:t xml:space="preserve">simply irrational. </w:t>
      </w:r>
      <w:r w:rsidR="00D572B8">
        <w:rPr>
          <w:rFonts w:ascii="Garamond" w:hAnsi="Garamond"/>
          <w:color w:val="000000"/>
        </w:rPr>
        <w:t xml:space="preserve">Jonathan </w:t>
      </w:r>
      <w:r w:rsidR="00D572B8" w:rsidRPr="00D572B8">
        <w:rPr>
          <w:rFonts w:asciiTheme="minorHAnsi" w:hAnsiTheme="minorHAnsi"/>
        </w:rPr>
        <w:t>Masur and</w:t>
      </w:r>
      <w:r w:rsidR="00D572B8">
        <w:rPr>
          <w:rFonts w:asciiTheme="minorHAnsi" w:hAnsiTheme="minorHAnsi"/>
        </w:rPr>
        <w:t xml:space="preserve"> Eric</w:t>
      </w:r>
      <w:r w:rsidR="00D572B8" w:rsidRPr="00D572B8">
        <w:rPr>
          <w:rFonts w:asciiTheme="minorHAnsi" w:hAnsiTheme="minorHAnsi"/>
        </w:rPr>
        <w:t xml:space="preserve"> Posner</w:t>
      </w:r>
      <w:r w:rsidR="00D572B8">
        <w:rPr>
          <w:rFonts w:asciiTheme="minorHAnsi" w:hAnsiTheme="minorHAnsi"/>
        </w:rPr>
        <w:t xml:space="preserve">, for example, </w:t>
      </w:r>
      <w:r w:rsidR="00753156">
        <w:rPr>
          <w:rFonts w:asciiTheme="minorHAnsi" w:hAnsiTheme="minorHAnsi"/>
        </w:rPr>
        <w:t>write that feasibility analysis</w:t>
      </w:r>
      <w:r w:rsidR="00D572B8">
        <w:rPr>
          <w:rFonts w:asciiTheme="minorHAnsi" w:hAnsiTheme="minorHAnsi"/>
        </w:rPr>
        <w:t xml:space="preserve"> </w:t>
      </w:r>
      <w:r w:rsidR="00D572B8" w:rsidRPr="00D572B8">
        <w:rPr>
          <w:rFonts w:asciiTheme="minorHAnsi" w:hAnsiTheme="minorHAnsi"/>
        </w:rPr>
        <w:t>“does not reflect deontological thinking . . . [does not] reflect welfarism in any straightforward sense,” and “no attempt to reverse engineer a theory of well-being that justifies feasibility analysis has been successful.”</w:t>
      </w:r>
      <w:bookmarkStart w:id="5" w:name="_Ref476770507"/>
      <w:r w:rsidR="00D572B8" w:rsidRPr="00D572B8">
        <w:rPr>
          <w:rFonts w:asciiTheme="minorHAnsi" w:hAnsiTheme="minorHAnsi"/>
          <w:vertAlign w:val="superscript"/>
        </w:rPr>
        <w:footnoteReference w:id="33"/>
      </w:r>
      <w:bookmarkEnd w:id="5"/>
      <w:r w:rsidR="00D572B8" w:rsidRPr="00D572B8">
        <w:rPr>
          <w:rFonts w:asciiTheme="minorHAnsi" w:hAnsiTheme="minorHAnsi"/>
        </w:rPr>
        <w:t xml:space="preserve"> </w:t>
      </w:r>
      <w:r w:rsidR="00753156" w:rsidRPr="00753156">
        <w:rPr>
          <w:rFonts w:asciiTheme="minorHAnsi" w:hAnsiTheme="minorHAnsi"/>
        </w:rPr>
        <w:t xml:space="preserve">This criticism of </w:t>
      </w:r>
      <w:r w:rsidR="00753156">
        <w:rPr>
          <w:rFonts w:asciiTheme="minorHAnsi" w:hAnsiTheme="minorHAnsi"/>
        </w:rPr>
        <w:t>feasibility analysis is a particular manifestation of</w:t>
      </w:r>
      <w:r w:rsidR="003F2B65">
        <w:rPr>
          <w:rFonts w:asciiTheme="minorHAnsi" w:hAnsiTheme="minorHAnsi"/>
        </w:rPr>
        <w:t xml:space="preserve"> the general thesis that efficiency</w:t>
      </w:r>
      <w:r w:rsidR="00753156" w:rsidRPr="00753156">
        <w:rPr>
          <w:rFonts w:asciiTheme="minorHAnsi" w:hAnsiTheme="minorHAnsi"/>
        </w:rPr>
        <w:t xml:space="preserve"> is the only plausible standard of precaution, and its handmaiden cost-benefit analysis is </w:t>
      </w:r>
      <w:r w:rsidR="00753156">
        <w:rPr>
          <w:rFonts w:asciiTheme="minorHAnsi" w:hAnsiTheme="minorHAnsi"/>
        </w:rPr>
        <w:t>“</w:t>
      </w:r>
      <w:r w:rsidR="00753156" w:rsidRPr="00753156">
        <w:rPr>
          <w:rFonts w:asciiTheme="minorHAnsi" w:hAnsiTheme="minorHAnsi"/>
        </w:rPr>
        <w:t>the only game in town for determining appropriate standards of conduct for socially useful but risky acts.”</w:t>
      </w:r>
      <w:r w:rsidR="00753156" w:rsidRPr="00753156">
        <w:rPr>
          <w:rFonts w:asciiTheme="minorHAnsi" w:hAnsiTheme="minorHAnsi"/>
          <w:vertAlign w:val="superscript"/>
        </w:rPr>
        <w:footnoteReference w:id="34"/>
      </w:r>
      <w:r w:rsidR="00753156" w:rsidRPr="00753156">
        <w:rPr>
          <w:rFonts w:asciiTheme="minorHAnsi" w:hAnsiTheme="minorHAnsi"/>
        </w:rPr>
        <w:t xml:space="preserve"> </w:t>
      </w:r>
    </w:p>
    <w:p w14:paraId="7BF36F5F" w14:textId="0FD9EB51" w:rsidR="00D0722F" w:rsidRDefault="001A58CB" w:rsidP="00EC12AB">
      <w:pPr>
        <w:jc w:val="both"/>
        <w:rPr>
          <w:rFonts w:asciiTheme="minorHAnsi" w:hAnsiTheme="minorHAnsi"/>
        </w:rPr>
      </w:pPr>
      <w:r>
        <w:rPr>
          <w:rFonts w:asciiTheme="minorHAnsi" w:hAnsiTheme="minorHAnsi"/>
        </w:rPr>
        <w:t xml:space="preserve">Professors Masur and </w:t>
      </w:r>
      <w:r w:rsidR="00302D17">
        <w:rPr>
          <w:rFonts w:asciiTheme="minorHAnsi" w:hAnsiTheme="minorHAnsi"/>
        </w:rPr>
        <w:t>Posne</w:t>
      </w:r>
      <w:r>
        <w:rPr>
          <w:rFonts w:asciiTheme="minorHAnsi" w:hAnsiTheme="minorHAnsi"/>
        </w:rPr>
        <w:t xml:space="preserve">r’s skepticism that feasibility analysis is a serious alternative to cost-benefit analysis, and Professor </w:t>
      </w:r>
      <w:r w:rsidR="007A1002">
        <w:rPr>
          <w:rFonts w:asciiTheme="minorHAnsi" w:hAnsiTheme="minorHAnsi"/>
        </w:rPr>
        <w:t>Fried</w:t>
      </w:r>
      <w:r>
        <w:rPr>
          <w:rFonts w:asciiTheme="minorHAnsi" w:hAnsiTheme="minorHAnsi"/>
        </w:rPr>
        <w:t xml:space="preserve">’s assertion that cost-benefit analysis is the only game in town when </w:t>
      </w:r>
      <w:r w:rsidR="00371B73">
        <w:rPr>
          <w:rFonts w:asciiTheme="minorHAnsi" w:hAnsiTheme="minorHAnsi"/>
        </w:rPr>
        <w:t xml:space="preserve">it comes to </w:t>
      </w:r>
      <w:r w:rsidR="007A1002">
        <w:rPr>
          <w:rFonts w:asciiTheme="minorHAnsi" w:hAnsiTheme="minorHAnsi"/>
        </w:rPr>
        <w:t xml:space="preserve">legal standards governing the </w:t>
      </w:r>
      <w:r>
        <w:rPr>
          <w:rFonts w:asciiTheme="minorHAnsi" w:hAnsiTheme="minorHAnsi"/>
        </w:rPr>
        <w:t xml:space="preserve">appropriate level of precaution, are hardly outlier opinions. </w:t>
      </w:r>
      <w:r w:rsidR="000B452C">
        <w:rPr>
          <w:rFonts w:asciiTheme="minorHAnsi" w:hAnsiTheme="minorHAnsi"/>
        </w:rPr>
        <w:t>C</w:t>
      </w:r>
      <w:r w:rsidR="00D27FE5">
        <w:rPr>
          <w:rFonts w:asciiTheme="minorHAnsi" w:hAnsiTheme="minorHAnsi"/>
        </w:rPr>
        <w:t>ass Sunstein</w:t>
      </w:r>
      <w:r w:rsidR="00371B73">
        <w:rPr>
          <w:rFonts w:asciiTheme="minorHAnsi" w:hAnsiTheme="minorHAnsi"/>
        </w:rPr>
        <w:t>, easily the most influential Amer</w:t>
      </w:r>
      <w:r w:rsidR="00753156">
        <w:rPr>
          <w:rFonts w:asciiTheme="minorHAnsi" w:hAnsiTheme="minorHAnsi"/>
        </w:rPr>
        <w:t xml:space="preserve">ican legal academic now writing </w:t>
      </w:r>
      <w:r w:rsidR="00371B73">
        <w:rPr>
          <w:rFonts w:asciiTheme="minorHAnsi" w:hAnsiTheme="minorHAnsi"/>
        </w:rPr>
        <w:t>on risk</w:t>
      </w:r>
      <w:r w:rsidR="008D420A">
        <w:rPr>
          <w:rFonts w:asciiTheme="minorHAnsi" w:hAnsiTheme="minorHAnsi"/>
        </w:rPr>
        <w:t xml:space="preserve"> and precaution</w:t>
      </w:r>
      <w:r w:rsidR="00371B73">
        <w:rPr>
          <w:rFonts w:asciiTheme="minorHAnsi" w:hAnsiTheme="minorHAnsi"/>
        </w:rPr>
        <w:t xml:space="preserve">, </w:t>
      </w:r>
      <w:r w:rsidR="00357E8F">
        <w:rPr>
          <w:rFonts w:asciiTheme="minorHAnsi" w:hAnsiTheme="minorHAnsi"/>
        </w:rPr>
        <w:t xml:space="preserve">asserts </w:t>
      </w:r>
      <w:r w:rsidR="003C792E">
        <w:rPr>
          <w:rFonts w:asciiTheme="minorHAnsi" w:hAnsiTheme="minorHAnsi"/>
        </w:rPr>
        <w:t xml:space="preserve">that </w:t>
      </w:r>
      <w:r w:rsidR="00357E8F">
        <w:rPr>
          <w:rFonts w:asciiTheme="minorHAnsi" w:hAnsiTheme="minorHAnsi"/>
        </w:rPr>
        <w:t>“[u]</w:t>
      </w:r>
      <w:r w:rsidR="00436077">
        <w:rPr>
          <w:rFonts w:asciiTheme="minorHAnsi" w:hAnsiTheme="minorHAnsi"/>
        </w:rPr>
        <w:t>ncontroversial” considerations “suggest” that “[i]t is not possible to do evidence-based, data-driven regulation without assessing both costs and benefits, and without being as quantitative as possible.”</w:t>
      </w:r>
      <w:bookmarkStart w:id="6" w:name="_Ref339124051"/>
      <w:r w:rsidR="00436077">
        <w:rPr>
          <w:rStyle w:val="FootnoteReference"/>
          <w:rFonts w:asciiTheme="minorHAnsi" w:hAnsiTheme="minorHAnsi"/>
        </w:rPr>
        <w:footnoteReference w:id="35"/>
      </w:r>
      <w:bookmarkEnd w:id="6"/>
      <w:r w:rsidR="004862FF">
        <w:rPr>
          <w:rFonts w:asciiTheme="minorHAnsi" w:hAnsiTheme="minorHAnsi"/>
        </w:rPr>
        <w:t xml:space="preserve"> </w:t>
      </w:r>
      <w:r w:rsidR="0044683C">
        <w:rPr>
          <w:rFonts w:asciiTheme="minorHAnsi" w:hAnsiTheme="minorHAnsi"/>
        </w:rPr>
        <w:t>C</w:t>
      </w:r>
      <w:r w:rsidR="00436077">
        <w:rPr>
          <w:rFonts w:asciiTheme="minorHAnsi" w:hAnsiTheme="minorHAnsi"/>
        </w:rPr>
        <w:t>ost-benefit analysis</w:t>
      </w:r>
      <w:r w:rsidR="00013F00">
        <w:rPr>
          <w:rFonts w:asciiTheme="minorHAnsi" w:hAnsiTheme="minorHAnsi"/>
        </w:rPr>
        <w:t xml:space="preserve"> is indispensable to thinking rationally a</w:t>
      </w:r>
      <w:r w:rsidR="003C792E">
        <w:rPr>
          <w:rFonts w:asciiTheme="minorHAnsi" w:hAnsiTheme="minorHAnsi"/>
        </w:rPr>
        <w:t xml:space="preserve">bout </w:t>
      </w:r>
      <w:r w:rsidR="00436077">
        <w:rPr>
          <w:rFonts w:asciiTheme="minorHAnsi" w:hAnsiTheme="minorHAnsi"/>
        </w:rPr>
        <w:t xml:space="preserve">risk and </w:t>
      </w:r>
      <w:r w:rsidR="003C792E">
        <w:rPr>
          <w:rFonts w:asciiTheme="minorHAnsi" w:hAnsiTheme="minorHAnsi"/>
        </w:rPr>
        <w:t>regulation.</w:t>
      </w:r>
      <w:r w:rsidR="004862FF" w:rsidRPr="004862FF">
        <w:rPr>
          <w:rFonts w:asciiTheme="minorHAnsi" w:hAnsiTheme="minorHAnsi"/>
          <w:vertAlign w:val="superscript"/>
        </w:rPr>
        <w:footnoteReference w:id="36"/>
      </w:r>
      <w:r w:rsidR="00436077">
        <w:rPr>
          <w:rFonts w:asciiTheme="minorHAnsi" w:hAnsiTheme="minorHAnsi"/>
        </w:rPr>
        <w:t xml:space="preserve"> </w:t>
      </w:r>
      <w:r w:rsidR="0093011F">
        <w:rPr>
          <w:rFonts w:asciiTheme="minorHAnsi" w:hAnsiTheme="minorHAnsi"/>
        </w:rPr>
        <w:t xml:space="preserve">Unless and until we embrace </w:t>
      </w:r>
      <w:r w:rsidR="00B757BA">
        <w:rPr>
          <w:rFonts w:asciiTheme="minorHAnsi" w:hAnsiTheme="minorHAnsi"/>
        </w:rPr>
        <w:t>cost-benefit analysis</w:t>
      </w:r>
      <w:r w:rsidR="00DE5506">
        <w:rPr>
          <w:rFonts w:asciiTheme="minorHAnsi" w:hAnsiTheme="minorHAnsi"/>
        </w:rPr>
        <w:t>,</w:t>
      </w:r>
      <w:r w:rsidR="00B757BA">
        <w:rPr>
          <w:rFonts w:asciiTheme="minorHAnsi" w:hAnsiTheme="minorHAnsi"/>
        </w:rPr>
        <w:t xml:space="preserve"> </w:t>
      </w:r>
      <w:r w:rsidR="0093011F">
        <w:rPr>
          <w:rFonts w:asciiTheme="minorHAnsi" w:hAnsiTheme="minorHAnsi"/>
        </w:rPr>
        <w:t>our think</w:t>
      </w:r>
      <w:r w:rsidR="00B757BA">
        <w:rPr>
          <w:rFonts w:asciiTheme="minorHAnsi" w:hAnsiTheme="minorHAnsi"/>
        </w:rPr>
        <w:t>ing</w:t>
      </w:r>
      <w:r w:rsidR="0093011F">
        <w:rPr>
          <w:rFonts w:asciiTheme="minorHAnsi" w:hAnsiTheme="minorHAnsi"/>
        </w:rPr>
        <w:t xml:space="preserve"> about risk and precaution</w:t>
      </w:r>
      <w:r w:rsidR="00431BA0">
        <w:rPr>
          <w:rFonts w:asciiTheme="minorHAnsi" w:hAnsiTheme="minorHAnsi"/>
        </w:rPr>
        <w:t xml:space="preserve"> will be ruled by rank sentiment</w:t>
      </w:r>
      <w:r w:rsidR="0093011F">
        <w:rPr>
          <w:rFonts w:asciiTheme="minorHAnsi" w:hAnsiTheme="minorHAnsi"/>
        </w:rPr>
        <w:t xml:space="preserve">ality and cognitive error. </w:t>
      </w:r>
      <w:r w:rsidR="006B738B">
        <w:rPr>
          <w:rFonts w:asciiTheme="minorHAnsi" w:hAnsiTheme="minorHAnsi"/>
        </w:rPr>
        <w:t xml:space="preserve">The most recent Supreme Court </w:t>
      </w:r>
      <w:r w:rsidR="006B738B">
        <w:rPr>
          <w:rFonts w:asciiTheme="minorHAnsi" w:hAnsiTheme="minorHAnsi"/>
        </w:rPr>
        <w:lastRenderedPageBreak/>
        <w:t>decision</w:t>
      </w:r>
      <w:r w:rsidR="006918EE">
        <w:rPr>
          <w:rFonts w:asciiTheme="minorHAnsi" w:hAnsiTheme="minorHAnsi"/>
        </w:rPr>
        <w:t xml:space="preserve"> on point</w:t>
      </w:r>
      <w:r w:rsidR="006B738B">
        <w:rPr>
          <w:rFonts w:asciiTheme="minorHAnsi" w:hAnsiTheme="minorHAnsi"/>
        </w:rPr>
        <w:t xml:space="preserve"> asserts that</w:t>
      </w:r>
      <w:r w:rsidR="006918EE">
        <w:rPr>
          <w:rFonts w:asciiTheme="minorHAnsi" w:hAnsiTheme="minorHAnsi"/>
        </w:rPr>
        <w:t>—</w:t>
      </w:r>
      <w:r w:rsidR="006B738B">
        <w:rPr>
          <w:rFonts w:asciiTheme="minorHAnsi" w:hAnsiTheme="minorHAnsi"/>
        </w:rPr>
        <w:t>absent specific statutory instruction to the contrary</w:t>
      </w:r>
      <w:r w:rsidR="006918EE">
        <w:rPr>
          <w:rFonts w:asciiTheme="minorHAnsi" w:hAnsiTheme="minorHAnsi"/>
        </w:rPr>
        <w:t>—</w:t>
      </w:r>
      <w:r w:rsidR="006B738B">
        <w:rPr>
          <w:rFonts w:asciiTheme="minorHAnsi" w:hAnsiTheme="minorHAnsi"/>
        </w:rPr>
        <w:t xml:space="preserve">regulatory agencies must engage in </w:t>
      </w:r>
      <w:r w:rsidR="00F62494">
        <w:rPr>
          <w:rFonts w:asciiTheme="minorHAnsi" w:hAnsiTheme="minorHAnsi"/>
        </w:rPr>
        <w:t xml:space="preserve">cost-benefit analysis </w:t>
      </w:r>
      <w:r w:rsidR="006918EE">
        <w:rPr>
          <w:rFonts w:asciiTheme="minorHAnsi" w:hAnsiTheme="minorHAnsi"/>
        </w:rPr>
        <w:t>the moment the</w:t>
      </w:r>
      <w:r w:rsidR="004B6BD4">
        <w:rPr>
          <w:rFonts w:asciiTheme="minorHAnsi" w:hAnsiTheme="minorHAnsi"/>
        </w:rPr>
        <w:t>y</w:t>
      </w:r>
      <w:r w:rsidR="006918EE">
        <w:rPr>
          <w:rFonts w:asciiTheme="minorHAnsi" w:hAnsiTheme="minorHAnsi"/>
        </w:rPr>
        <w:t xml:space="preserve"> contemplate regulating a harmful substance. It is irrational even to </w:t>
      </w:r>
      <w:r w:rsidR="006918EE" w:rsidRPr="004B6BD4">
        <w:rPr>
          <w:rFonts w:asciiTheme="minorHAnsi" w:hAnsiTheme="minorHAnsi"/>
          <w:i/>
        </w:rPr>
        <w:t>contemplate</w:t>
      </w:r>
      <w:r w:rsidR="006918EE">
        <w:rPr>
          <w:rFonts w:asciiTheme="minorHAnsi" w:hAnsiTheme="minorHAnsi"/>
        </w:rPr>
        <w:t xml:space="preserve"> reducing harm without con</w:t>
      </w:r>
      <w:r w:rsidR="004B6BD4">
        <w:rPr>
          <w:rFonts w:asciiTheme="minorHAnsi" w:hAnsiTheme="minorHAnsi"/>
        </w:rPr>
        <w:t>sidering costs.</w:t>
      </w:r>
      <w:r w:rsidR="0011525E">
        <w:rPr>
          <w:rStyle w:val="FootnoteReference"/>
          <w:rFonts w:asciiTheme="minorHAnsi" w:hAnsiTheme="minorHAnsi"/>
        </w:rPr>
        <w:footnoteReference w:id="37"/>
      </w:r>
    </w:p>
    <w:p w14:paraId="011385F8" w14:textId="0A54D6F2" w:rsidR="000E7712" w:rsidRDefault="005312F4" w:rsidP="006873A7">
      <w:pPr>
        <w:jc w:val="both"/>
        <w:rPr>
          <w:rFonts w:asciiTheme="minorHAnsi" w:hAnsiTheme="minorHAnsi"/>
        </w:rPr>
      </w:pPr>
      <w:r>
        <w:rPr>
          <w:rFonts w:asciiTheme="minorHAnsi" w:hAnsiTheme="minorHAnsi"/>
        </w:rPr>
        <w:t>O</w:t>
      </w:r>
      <w:r w:rsidR="007B4C42">
        <w:rPr>
          <w:rFonts w:asciiTheme="minorHAnsi" w:hAnsiTheme="minorHAnsi"/>
        </w:rPr>
        <w:t>ver time</w:t>
      </w:r>
      <w:r>
        <w:rPr>
          <w:rFonts w:asciiTheme="minorHAnsi" w:hAnsiTheme="minorHAnsi"/>
        </w:rPr>
        <w:t>,</w:t>
      </w:r>
      <w:r w:rsidR="007B4C42">
        <w:rPr>
          <w:rFonts w:asciiTheme="minorHAnsi" w:hAnsiTheme="minorHAnsi"/>
        </w:rPr>
        <w:t xml:space="preserve"> American legal scholars have become ever more strident in their assertions that the only way to think about risk and precaution is through the lenses of cost-benefit analysis. </w:t>
      </w:r>
      <w:r w:rsidR="0063422A">
        <w:rPr>
          <w:rFonts w:asciiTheme="minorHAnsi" w:hAnsiTheme="minorHAnsi"/>
        </w:rPr>
        <w:t xml:space="preserve">Early in the </w:t>
      </w:r>
      <w:r>
        <w:rPr>
          <w:rFonts w:asciiTheme="minorHAnsi" w:hAnsiTheme="minorHAnsi"/>
        </w:rPr>
        <w:t xml:space="preserve">history </w:t>
      </w:r>
      <w:r w:rsidR="008762F2">
        <w:rPr>
          <w:rFonts w:asciiTheme="minorHAnsi" w:hAnsiTheme="minorHAnsi"/>
        </w:rPr>
        <w:t xml:space="preserve">of </w:t>
      </w:r>
      <w:r w:rsidR="0063422A">
        <w:rPr>
          <w:rFonts w:asciiTheme="minorHAnsi" w:hAnsiTheme="minorHAnsi"/>
        </w:rPr>
        <w:t>law and economic</w:t>
      </w:r>
      <w:r>
        <w:rPr>
          <w:rFonts w:asciiTheme="minorHAnsi" w:hAnsiTheme="minorHAnsi"/>
        </w:rPr>
        <w:t>s</w:t>
      </w:r>
      <w:r w:rsidR="004800EB">
        <w:rPr>
          <w:rFonts w:asciiTheme="minorHAnsi" w:hAnsiTheme="minorHAnsi"/>
        </w:rPr>
        <w:t>,</w:t>
      </w:r>
      <w:r w:rsidR="00973BEA">
        <w:rPr>
          <w:rFonts w:asciiTheme="minorHAnsi" w:hAnsiTheme="minorHAnsi"/>
        </w:rPr>
        <w:t xml:space="preserve"> Guido Calabresi</w:t>
      </w:r>
      <w:r w:rsidR="0063422A">
        <w:rPr>
          <w:rFonts w:asciiTheme="minorHAnsi" w:hAnsiTheme="minorHAnsi"/>
        </w:rPr>
        <w:t xml:space="preserve"> </w:t>
      </w:r>
      <w:r w:rsidR="00E3156E">
        <w:rPr>
          <w:rFonts w:asciiTheme="minorHAnsi" w:hAnsiTheme="minorHAnsi"/>
        </w:rPr>
        <w:t>argue</w:t>
      </w:r>
      <w:r w:rsidR="00ED5AA4">
        <w:rPr>
          <w:rFonts w:asciiTheme="minorHAnsi" w:hAnsiTheme="minorHAnsi"/>
        </w:rPr>
        <w:t>d</w:t>
      </w:r>
      <w:r w:rsidR="00E3156E">
        <w:rPr>
          <w:rFonts w:asciiTheme="minorHAnsi" w:hAnsiTheme="minorHAnsi"/>
        </w:rPr>
        <w:t xml:space="preserve"> for a capacious approach </w:t>
      </w:r>
      <w:r w:rsidR="004800EB">
        <w:rPr>
          <w:rFonts w:asciiTheme="minorHAnsi" w:hAnsiTheme="minorHAnsi"/>
        </w:rPr>
        <w:t>that</w:t>
      </w:r>
      <w:r w:rsidR="0063422A">
        <w:rPr>
          <w:rFonts w:asciiTheme="minorHAnsi" w:hAnsiTheme="minorHAnsi"/>
        </w:rPr>
        <w:t xml:space="preserve"> sought to incorporate a whole range of values</w:t>
      </w:r>
      <w:r>
        <w:rPr>
          <w:rFonts w:asciiTheme="minorHAnsi" w:hAnsiTheme="minorHAnsi"/>
        </w:rPr>
        <w:t xml:space="preserve">. We should, he wrote, assign </w:t>
      </w:r>
      <w:r w:rsidR="0063422A">
        <w:rPr>
          <w:rFonts w:asciiTheme="minorHAnsi" w:hAnsiTheme="minorHAnsi"/>
        </w:rPr>
        <w:t>special weight to “justice constraints.”</w:t>
      </w:r>
      <w:r w:rsidR="008762F2">
        <w:rPr>
          <w:rStyle w:val="FootnoteReference"/>
          <w:rFonts w:asciiTheme="minorHAnsi" w:hAnsiTheme="minorHAnsi"/>
        </w:rPr>
        <w:footnoteReference w:id="38"/>
      </w:r>
      <w:r w:rsidR="0063422A">
        <w:rPr>
          <w:rFonts w:asciiTheme="minorHAnsi" w:hAnsiTheme="minorHAnsi"/>
        </w:rPr>
        <w:t xml:space="preserve"> For </w:t>
      </w:r>
      <w:r w:rsidR="00515BC4">
        <w:rPr>
          <w:rFonts w:asciiTheme="minorHAnsi" w:hAnsiTheme="minorHAnsi"/>
        </w:rPr>
        <w:t>all</w:t>
      </w:r>
      <w:r w:rsidR="003F6680">
        <w:rPr>
          <w:rFonts w:asciiTheme="minorHAnsi" w:hAnsiTheme="minorHAnsi"/>
        </w:rPr>
        <w:t xml:space="preserve"> of</w:t>
      </w:r>
      <w:r w:rsidR="0063422A">
        <w:rPr>
          <w:rFonts w:asciiTheme="minorHAnsi" w:hAnsiTheme="minorHAnsi"/>
        </w:rPr>
        <w:t xml:space="preserve"> Calabresi’s infl</w:t>
      </w:r>
      <w:r w:rsidR="0019168B">
        <w:rPr>
          <w:rFonts w:asciiTheme="minorHAnsi" w:hAnsiTheme="minorHAnsi"/>
        </w:rPr>
        <w:t xml:space="preserve">uence and importance, however, </w:t>
      </w:r>
      <w:r>
        <w:rPr>
          <w:rFonts w:asciiTheme="minorHAnsi" w:hAnsiTheme="minorHAnsi"/>
        </w:rPr>
        <w:t xml:space="preserve">in this respect </w:t>
      </w:r>
      <w:r w:rsidR="00973BEA">
        <w:rPr>
          <w:rFonts w:asciiTheme="minorHAnsi" w:hAnsiTheme="minorHAnsi"/>
        </w:rPr>
        <w:t xml:space="preserve">law and economics </w:t>
      </w:r>
      <w:r w:rsidR="0019168B">
        <w:rPr>
          <w:rFonts w:asciiTheme="minorHAnsi" w:hAnsiTheme="minorHAnsi"/>
        </w:rPr>
        <w:t xml:space="preserve">has not </w:t>
      </w:r>
      <w:r w:rsidR="0063422A">
        <w:rPr>
          <w:rFonts w:asciiTheme="minorHAnsi" w:hAnsiTheme="minorHAnsi"/>
        </w:rPr>
        <w:t>follow</w:t>
      </w:r>
      <w:r w:rsidR="0019168B">
        <w:rPr>
          <w:rFonts w:asciiTheme="minorHAnsi" w:hAnsiTheme="minorHAnsi"/>
        </w:rPr>
        <w:t>ed</w:t>
      </w:r>
      <w:r w:rsidR="0063422A">
        <w:rPr>
          <w:rFonts w:asciiTheme="minorHAnsi" w:hAnsiTheme="minorHAnsi"/>
        </w:rPr>
        <w:t xml:space="preserve"> in his</w:t>
      </w:r>
      <w:r>
        <w:rPr>
          <w:rFonts w:asciiTheme="minorHAnsi" w:hAnsiTheme="minorHAnsi"/>
        </w:rPr>
        <w:t xml:space="preserve"> lead</w:t>
      </w:r>
      <w:r w:rsidR="0063422A">
        <w:rPr>
          <w:rFonts w:asciiTheme="minorHAnsi" w:hAnsiTheme="minorHAnsi"/>
        </w:rPr>
        <w:t>. By the time Louis Kaplow and Steven Shavell published</w:t>
      </w:r>
      <w:r w:rsidR="00973BEA">
        <w:rPr>
          <w:rFonts w:asciiTheme="minorHAnsi" w:hAnsiTheme="minorHAnsi"/>
        </w:rPr>
        <w:t xml:space="preserve"> their influential</w:t>
      </w:r>
      <w:r w:rsidR="0063422A">
        <w:rPr>
          <w:rFonts w:asciiTheme="minorHAnsi" w:hAnsiTheme="minorHAnsi"/>
        </w:rPr>
        <w:t xml:space="preserve"> </w:t>
      </w:r>
      <w:r w:rsidR="0063422A" w:rsidRPr="000E7712">
        <w:rPr>
          <w:rFonts w:asciiTheme="minorHAnsi" w:hAnsiTheme="minorHAnsi"/>
          <w:i/>
        </w:rPr>
        <w:t>Fairness versus Welfare</w:t>
      </w:r>
      <w:r w:rsidR="000E7712">
        <w:rPr>
          <w:rFonts w:asciiTheme="minorHAnsi" w:hAnsiTheme="minorHAnsi"/>
        </w:rPr>
        <w:t>,</w:t>
      </w:r>
      <w:r w:rsidR="00456E9B">
        <w:rPr>
          <w:rStyle w:val="FootnoteReference"/>
          <w:rFonts w:asciiTheme="minorHAnsi" w:hAnsiTheme="minorHAnsi"/>
        </w:rPr>
        <w:footnoteReference w:id="39"/>
      </w:r>
      <w:r w:rsidR="000E7712">
        <w:rPr>
          <w:rFonts w:asciiTheme="minorHAnsi" w:hAnsiTheme="minorHAnsi"/>
        </w:rPr>
        <w:t xml:space="preserve"> the law and econ</w:t>
      </w:r>
      <w:r w:rsidR="00456E9B">
        <w:rPr>
          <w:rFonts w:asciiTheme="minorHAnsi" w:hAnsiTheme="minorHAnsi"/>
        </w:rPr>
        <w:t xml:space="preserve">omics community had largely coalesced around </w:t>
      </w:r>
      <w:r w:rsidR="000E7712">
        <w:rPr>
          <w:rFonts w:asciiTheme="minorHAnsi" w:hAnsiTheme="minorHAnsi"/>
        </w:rPr>
        <w:t>the idea that welfare is the master value</w:t>
      </w:r>
      <w:r w:rsidR="00973BEA">
        <w:rPr>
          <w:rFonts w:asciiTheme="minorHAnsi" w:hAnsiTheme="minorHAnsi"/>
        </w:rPr>
        <w:t xml:space="preserve"> and efficiency </w:t>
      </w:r>
      <w:r w:rsidR="008D420A">
        <w:rPr>
          <w:rFonts w:asciiTheme="minorHAnsi" w:hAnsiTheme="minorHAnsi"/>
        </w:rPr>
        <w:t xml:space="preserve">is </w:t>
      </w:r>
      <w:r w:rsidR="00973BEA">
        <w:rPr>
          <w:rFonts w:asciiTheme="minorHAnsi" w:hAnsiTheme="minorHAnsi"/>
        </w:rPr>
        <w:t xml:space="preserve">its </w:t>
      </w:r>
      <w:r w:rsidR="0019168B">
        <w:rPr>
          <w:rFonts w:asciiTheme="minorHAnsi" w:hAnsiTheme="minorHAnsi"/>
        </w:rPr>
        <w:t xml:space="preserve">legal </w:t>
      </w:r>
      <w:r w:rsidR="00973BEA">
        <w:rPr>
          <w:rFonts w:asciiTheme="minorHAnsi" w:hAnsiTheme="minorHAnsi"/>
        </w:rPr>
        <w:t>expression</w:t>
      </w:r>
      <w:r w:rsidR="000E7712">
        <w:rPr>
          <w:rFonts w:asciiTheme="minorHAnsi" w:hAnsiTheme="minorHAnsi"/>
        </w:rPr>
        <w:t xml:space="preserve">. </w:t>
      </w:r>
      <w:r w:rsidR="003F6680">
        <w:rPr>
          <w:rFonts w:asciiTheme="minorHAnsi" w:hAnsiTheme="minorHAnsi"/>
        </w:rPr>
        <w:t xml:space="preserve">Within economics, this consensus is understandable. </w:t>
      </w:r>
      <w:r w:rsidR="00A37132">
        <w:rPr>
          <w:rFonts w:asciiTheme="minorHAnsi" w:hAnsiTheme="minorHAnsi"/>
        </w:rPr>
        <w:t>But there is no reason to think that either economics or some variant of utilitarian consequentialism—the parent philosophy of economic analysis—has a monopoly when it comes to understanding the morality of risk imposition. Non-conse</w:t>
      </w:r>
      <w:r w:rsidR="006873A7">
        <w:rPr>
          <w:rFonts w:asciiTheme="minorHAnsi" w:hAnsiTheme="minorHAnsi"/>
        </w:rPr>
        <w:t>q</w:t>
      </w:r>
      <w:r w:rsidR="00A37132">
        <w:rPr>
          <w:rFonts w:asciiTheme="minorHAnsi" w:hAnsiTheme="minorHAnsi"/>
        </w:rPr>
        <w:t xml:space="preserve">uentialist approaches to risk both </w:t>
      </w:r>
      <w:r w:rsidR="006873A7">
        <w:rPr>
          <w:rFonts w:asciiTheme="minorHAnsi" w:hAnsiTheme="minorHAnsi"/>
        </w:rPr>
        <w:t>provide the best framework for making sense of</w:t>
      </w:r>
      <w:r w:rsidR="00A37132">
        <w:rPr>
          <w:rFonts w:asciiTheme="minorHAnsi" w:hAnsiTheme="minorHAnsi"/>
        </w:rPr>
        <w:t xml:space="preserve"> the legal standards that we shall soon </w:t>
      </w:r>
      <w:r w:rsidR="006873A7">
        <w:rPr>
          <w:rFonts w:asciiTheme="minorHAnsi" w:hAnsiTheme="minorHAnsi"/>
        </w:rPr>
        <w:t xml:space="preserve">examine </w:t>
      </w:r>
      <w:r w:rsidR="00A37132">
        <w:rPr>
          <w:rFonts w:asciiTheme="minorHAnsi" w:hAnsiTheme="minorHAnsi"/>
        </w:rPr>
        <w:t xml:space="preserve">and </w:t>
      </w:r>
      <w:r w:rsidR="00C711B2">
        <w:rPr>
          <w:rFonts w:asciiTheme="minorHAnsi" w:hAnsiTheme="minorHAnsi"/>
        </w:rPr>
        <w:t xml:space="preserve">are </w:t>
      </w:r>
      <w:r w:rsidR="006873A7">
        <w:rPr>
          <w:rFonts w:asciiTheme="minorHAnsi" w:hAnsiTheme="minorHAnsi"/>
        </w:rPr>
        <w:t>alive and well in philosophical discourse.</w:t>
      </w:r>
      <w:r w:rsidR="006873A7">
        <w:rPr>
          <w:rStyle w:val="FootnoteReference"/>
          <w:rFonts w:asciiTheme="minorHAnsi" w:hAnsiTheme="minorHAnsi"/>
        </w:rPr>
        <w:footnoteReference w:id="40"/>
      </w:r>
      <w:r w:rsidR="006873A7">
        <w:rPr>
          <w:rFonts w:asciiTheme="minorHAnsi" w:hAnsiTheme="minorHAnsi"/>
        </w:rPr>
        <w:t xml:space="preserve"> For example, </w:t>
      </w:r>
      <w:r w:rsidR="00A37132">
        <w:rPr>
          <w:rFonts w:asciiTheme="minorHAnsi" w:hAnsiTheme="minorHAnsi"/>
        </w:rPr>
        <w:t xml:space="preserve">there are robust philosophical debates over whether </w:t>
      </w:r>
      <w:r w:rsidR="000E7712">
        <w:rPr>
          <w:rFonts w:asciiTheme="minorHAnsi" w:hAnsiTheme="minorHAnsi"/>
        </w:rPr>
        <w:t>contractualism—the most prominent philosophical alternative to consequentialism—can “make the numbers count” in the right way or deal adequately with cases w</w:t>
      </w:r>
      <w:r w:rsidR="00824A41">
        <w:rPr>
          <w:rFonts w:asciiTheme="minorHAnsi" w:hAnsiTheme="minorHAnsi"/>
        </w:rPr>
        <w:t xml:space="preserve">here only future lives are put </w:t>
      </w:r>
      <w:r w:rsidR="000E7712">
        <w:rPr>
          <w:rFonts w:asciiTheme="minorHAnsi" w:hAnsiTheme="minorHAnsi"/>
        </w:rPr>
        <w:t>at risk.</w:t>
      </w:r>
      <w:r w:rsidR="00824A41">
        <w:rPr>
          <w:rStyle w:val="FootnoteReference"/>
          <w:rFonts w:asciiTheme="minorHAnsi" w:hAnsiTheme="minorHAnsi"/>
        </w:rPr>
        <w:footnoteReference w:id="41"/>
      </w:r>
      <w:r w:rsidR="000E7712">
        <w:rPr>
          <w:rFonts w:asciiTheme="minorHAnsi" w:hAnsiTheme="minorHAnsi"/>
        </w:rPr>
        <w:t xml:space="preserve"> </w:t>
      </w:r>
    </w:p>
    <w:p w14:paraId="74ED900B" w14:textId="5225F6A9" w:rsidR="006C21FB" w:rsidRDefault="00C808DC" w:rsidP="00EC12AB">
      <w:pPr>
        <w:jc w:val="both"/>
        <w:rPr>
          <w:rFonts w:asciiTheme="minorHAnsi" w:hAnsiTheme="minorHAnsi"/>
        </w:rPr>
      </w:pPr>
      <w:r>
        <w:rPr>
          <w:rFonts w:asciiTheme="minorHAnsi" w:hAnsiTheme="minorHAnsi"/>
        </w:rPr>
        <w:t>Cost-benefit analysis</w:t>
      </w:r>
      <w:r w:rsidR="000E7712">
        <w:rPr>
          <w:rFonts w:asciiTheme="minorHAnsi" w:hAnsiTheme="minorHAnsi"/>
        </w:rPr>
        <w:t xml:space="preserve">, conventionally conceived, </w:t>
      </w:r>
      <w:r>
        <w:rPr>
          <w:rFonts w:asciiTheme="minorHAnsi" w:hAnsiTheme="minorHAnsi"/>
        </w:rPr>
        <w:t xml:space="preserve">is not rationality incarnate; it is efficiency embodied. </w:t>
      </w:r>
      <w:r w:rsidR="008C7E02">
        <w:rPr>
          <w:rFonts w:asciiTheme="minorHAnsi" w:hAnsiTheme="minorHAnsi"/>
        </w:rPr>
        <w:t>Cost-</w:t>
      </w:r>
      <w:r w:rsidR="00F86E40">
        <w:rPr>
          <w:rFonts w:asciiTheme="minorHAnsi" w:hAnsiTheme="minorHAnsi"/>
        </w:rPr>
        <w:t xml:space="preserve">justified precaution is efficient </w:t>
      </w:r>
      <w:r>
        <w:rPr>
          <w:rFonts w:asciiTheme="minorHAnsi" w:hAnsiTheme="minorHAnsi"/>
        </w:rPr>
        <w:t>precaution. It prescribes that r</w:t>
      </w:r>
      <w:r w:rsidRPr="00C808DC">
        <w:rPr>
          <w:rFonts w:asciiTheme="minorHAnsi" w:hAnsiTheme="minorHAnsi"/>
        </w:rPr>
        <w:t>isks to he</w:t>
      </w:r>
      <w:r>
        <w:rPr>
          <w:rFonts w:asciiTheme="minorHAnsi" w:hAnsiTheme="minorHAnsi"/>
        </w:rPr>
        <w:t>alth and safety should</w:t>
      </w:r>
      <w:r w:rsidRPr="00C808DC">
        <w:rPr>
          <w:rFonts w:asciiTheme="minorHAnsi" w:hAnsiTheme="minorHAnsi"/>
        </w:rPr>
        <w:t xml:space="preserve"> be managed by minimizing the combined costs of avoiding and sufferi</w:t>
      </w:r>
      <w:r>
        <w:rPr>
          <w:rFonts w:asciiTheme="minorHAnsi" w:hAnsiTheme="minorHAnsi"/>
        </w:rPr>
        <w:t>ng the illnesses and injuries</w:t>
      </w:r>
      <w:r w:rsidRPr="00C808DC">
        <w:rPr>
          <w:rFonts w:asciiTheme="minorHAnsi" w:hAnsiTheme="minorHAnsi"/>
        </w:rPr>
        <w:t xml:space="preserve"> in question</w:t>
      </w:r>
      <w:r w:rsidR="0003335B">
        <w:rPr>
          <w:rFonts w:asciiTheme="minorHAnsi" w:hAnsiTheme="minorHAnsi"/>
        </w:rPr>
        <w:t>,</w:t>
      </w:r>
      <w:r w:rsidR="004A00C5">
        <w:rPr>
          <w:rFonts w:asciiTheme="minorHAnsi" w:hAnsiTheme="minorHAnsi"/>
        </w:rPr>
        <w:t xml:space="preserve"> thereby maximizing the net benefit that we extract from the activities responsible for the illnesses and injuries at issue</w:t>
      </w:r>
      <w:r w:rsidR="00013F00">
        <w:rPr>
          <w:rFonts w:asciiTheme="minorHAnsi" w:hAnsiTheme="minorHAnsi"/>
        </w:rPr>
        <w:t xml:space="preserve">. </w:t>
      </w:r>
      <w:r w:rsidR="004A00C5">
        <w:rPr>
          <w:rFonts w:asciiTheme="minorHAnsi" w:hAnsiTheme="minorHAnsi"/>
        </w:rPr>
        <w:t>Acting efficiently is</w:t>
      </w:r>
      <w:r w:rsidR="00013F00">
        <w:rPr>
          <w:rFonts w:asciiTheme="minorHAnsi" w:hAnsiTheme="minorHAnsi"/>
        </w:rPr>
        <w:t>, to be sure,</w:t>
      </w:r>
      <w:r w:rsidR="004A00C5">
        <w:rPr>
          <w:rFonts w:asciiTheme="minorHAnsi" w:hAnsiTheme="minorHAnsi"/>
        </w:rPr>
        <w:t xml:space="preserve"> </w:t>
      </w:r>
      <w:r w:rsidR="006956F8">
        <w:rPr>
          <w:rFonts w:asciiTheme="minorHAnsi" w:hAnsiTheme="minorHAnsi"/>
        </w:rPr>
        <w:t xml:space="preserve">presumptively </w:t>
      </w:r>
      <w:r w:rsidR="004A00C5">
        <w:rPr>
          <w:rFonts w:asciiTheme="minorHAnsi" w:hAnsiTheme="minorHAnsi"/>
        </w:rPr>
        <w:t>desirable</w:t>
      </w:r>
      <w:r w:rsidR="00013F00">
        <w:rPr>
          <w:rFonts w:asciiTheme="minorHAnsi" w:hAnsiTheme="minorHAnsi"/>
        </w:rPr>
        <w:t>. Efficiency is a value—</w:t>
      </w:r>
      <w:r w:rsidR="006C21FB">
        <w:rPr>
          <w:rFonts w:asciiTheme="minorHAnsi" w:hAnsiTheme="minorHAnsi"/>
        </w:rPr>
        <w:t xml:space="preserve">something </w:t>
      </w:r>
      <w:r w:rsidR="004A00C5">
        <w:rPr>
          <w:rFonts w:asciiTheme="minorHAnsi" w:hAnsiTheme="minorHAnsi"/>
        </w:rPr>
        <w:t xml:space="preserve">whose realization is </w:t>
      </w:r>
      <w:r w:rsidR="00013F00">
        <w:rPr>
          <w:rFonts w:asciiTheme="minorHAnsi" w:hAnsiTheme="minorHAnsi"/>
        </w:rPr>
        <w:t>presumptively good—</w:t>
      </w:r>
      <w:r w:rsidR="00384269">
        <w:rPr>
          <w:rFonts w:asciiTheme="minorHAnsi" w:hAnsiTheme="minorHAnsi"/>
        </w:rPr>
        <w:t>but acting efficiently</w:t>
      </w:r>
      <w:r w:rsidR="006C21FB">
        <w:rPr>
          <w:rFonts w:asciiTheme="minorHAnsi" w:hAnsiTheme="minorHAnsi"/>
        </w:rPr>
        <w:t xml:space="preserve"> is </w:t>
      </w:r>
      <w:r w:rsidR="006E3001">
        <w:rPr>
          <w:rFonts w:asciiTheme="minorHAnsi" w:hAnsiTheme="minorHAnsi"/>
        </w:rPr>
        <w:t xml:space="preserve">not </w:t>
      </w:r>
      <w:r w:rsidR="006956F8">
        <w:rPr>
          <w:rFonts w:asciiTheme="minorHAnsi" w:hAnsiTheme="minorHAnsi"/>
        </w:rPr>
        <w:t>rationality incarnate. Efficiency is one value among many</w:t>
      </w:r>
      <w:r w:rsidR="00013F00">
        <w:rPr>
          <w:rFonts w:asciiTheme="minorHAnsi" w:hAnsiTheme="minorHAnsi"/>
        </w:rPr>
        <w:t>. O</w:t>
      </w:r>
      <w:r w:rsidR="004A00C5">
        <w:rPr>
          <w:rFonts w:asciiTheme="minorHAnsi" w:hAnsiTheme="minorHAnsi"/>
        </w:rPr>
        <w:t>ther values also bear on the desirability of various risk-reducing measures</w:t>
      </w:r>
      <w:r w:rsidR="006956F8">
        <w:rPr>
          <w:rFonts w:asciiTheme="minorHAnsi" w:hAnsiTheme="minorHAnsi"/>
        </w:rPr>
        <w:t xml:space="preserve">. </w:t>
      </w:r>
      <w:r w:rsidR="006E3001">
        <w:rPr>
          <w:rFonts w:asciiTheme="minorHAnsi" w:hAnsiTheme="minorHAnsi"/>
        </w:rPr>
        <w:t>Precautions may be fair or unfair as well as efficient or inefficient</w:t>
      </w:r>
      <w:r w:rsidR="004A00C5">
        <w:rPr>
          <w:rFonts w:asciiTheme="minorHAnsi" w:hAnsiTheme="minorHAnsi"/>
        </w:rPr>
        <w:t>;</w:t>
      </w:r>
      <w:r w:rsidR="006E3001">
        <w:rPr>
          <w:rFonts w:asciiTheme="minorHAnsi" w:hAnsiTheme="minorHAnsi"/>
        </w:rPr>
        <w:t xml:space="preserve"> they may respect </w:t>
      </w:r>
      <w:r w:rsidR="00384269">
        <w:rPr>
          <w:rFonts w:asciiTheme="minorHAnsi" w:hAnsiTheme="minorHAnsi"/>
        </w:rPr>
        <w:t xml:space="preserve">or disrespect </w:t>
      </w:r>
      <w:r w:rsidR="006E3001">
        <w:rPr>
          <w:rFonts w:asciiTheme="minorHAnsi" w:hAnsiTheme="minorHAnsi"/>
        </w:rPr>
        <w:t>pe</w:t>
      </w:r>
      <w:r w:rsidR="00384269">
        <w:rPr>
          <w:rFonts w:asciiTheme="minorHAnsi" w:hAnsiTheme="minorHAnsi"/>
        </w:rPr>
        <w:t>ople’s rights</w:t>
      </w:r>
      <w:r w:rsidR="006E3001">
        <w:rPr>
          <w:rFonts w:asciiTheme="minorHAnsi" w:hAnsiTheme="minorHAnsi"/>
        </w:rPr>
        <w:t xml:space="preserve">; they may </w:t>
      </w:r>
      <w:r w:rsidR="004A00C5">
        <w:rPr>
          <w:rFonts w:asciiTheme="minorHAnsi" w:hAnsiTheme="minorHAnsi"/>
        </w:rPr>
        <w:t xml:space="preserve">enable or disable desirable forms of choice; they </w:t>
      </w:r>
      <w:r w:rsidR="00ED5AA4">
        <w:rPr>
          <w:rFonts w:asciiTheme="minorHAnsi" w:hAnsiTheme="minorHAnsi"/>
        </w:rPr>
        <w:t xml:space="preserve">may </w:t>
      </w:r>
      <w:r w:rsidR="006E3001">
        <w:rPr>
          <w:rFonts w:asciiTheme="minorHAnsi" w:hAnsiTheme="minorHAnsi"/>
        </w:rPr>
        <w:t>be sensitive or insensitive to the distinctive value</w:t>
      </w:r>
      <w:r w:rsidR="00384B9E">
        <w:rPr>
          <w:rFonts w:asciiTheme="minorHAnsi" w:hAnsiTheme="minorHAnsi"/>
        </w:rPr>
        <w:t>s</w:t>
      </w:r>
      <w:r w:rsidR="006E3001">
        <w:rPr>
          <w:rFonts w:asciiTheme="minorHAnsi" w:hAnsiTheme="minorHAnsi"/>
        </w:rPr>
        <w:t xml:space="preserve"> realize</w:t>
      </w:r>
      <w:r w:rsidR="006C21FB">
        <w:rPr>
          <w:rFonts w:asciiTheme="minorHAnsi" w:hAnsiTheme="minorHAnsi"/>
        </w:rPr>
        <w:t xml:space="preserve">d by some activity (some sport or line of work </w:t>
      </w:r>
      <w:r w:rsidR="006E3001">
        <w:rPr>
          <w:rFonts w:asciiTheme="minorHAnsi" w:hAnsiTheme="minorHAnsi"/>
        </w:rPr>
        <w:t>for instance);</w:t>
      </w:r>
      <w:r w:rsidR="004A00C5">
        <w:rPr>
          <w:rFonts w:asciiTheme="minorHAnsi" w:hAnsiTheme="minorHAnsi"/>
        </w:rPr>
        <w:t xml:space="preserve"> and so on. </w:t>
      </w:r>
    </w:p>
    <w:p w14:paraId="143E610D" w14:textId="1761835A" w:rsidR="00384B9E" w:rsidRPr="001A680D" w:rsidRDefault="006C21FB" w:rsidP="00EC12AB">
      <w:pPr>
        <w:jc w:val="both"/>
        <w:rPr>
          <w:rFonts w:asciiTheme="minorHAnsi" w:hAnsiTheme="minorHAnsi"/>
        </w:rPr>
      </w:pPr>
      <w:r>
        <w:rPr>
          <w:rFonts w:asciiTheme="minorHAnsi" w:hAnsiTheme="minorHAnsi"/>
        </w:rPr>
        <w:t>Efficiency’s relative importance as a value</w:t>
      </w:r>
      <w:r w:rsidR="00413841">
        <w:rPr>
          <w:rFonts w:asciiTheme="minorHAnsi" w:hAnsiTheme="minorHAnsi"/>
        </w:rPr>
        <w:t xml:space="preserve"> </w:t>
      </w:r>
      <w:r>
        <w:rPr>
          <w:rFonts w:asciiTheme="minorHAnsi" w:hAnsiTheme="minorHAnsi"/>
        </w:rPr>
        <w:t>is</w:t>
      </w:r>
      <w:r w:rsidR="006873A7">
        <w:rPr>
          <w:rFonts w:asciiTheme="minorHAnsi" w:hAnsiTheme="minorHAnsi"/>
        </w:rPr>
        <w:t>, moreover,</w:t>
      </w:r>
      <w:r>
        <w:rPr>
          <w:rFonts w:asciiTheme="minorHAnsi" w:hAnsiTheme="minorHAnsi"/>
        </w:rPr>
        <w:t xml:space="preserve"> </w:t>
      </w:r>
      <w:r w:rsidR="00413841">
        <w:rPr>
          <w:rFonts w:asciiTheme="minorHAnsi" w:hAnsiTheme="minorHAnsi"/>
        </w:rPr>
        <w:t xml:space="preserve">eminently </w:t>
      </w:r>
      <w:r>
        <w:rPr>
          <w:rFonts w:asciiTheme="minorHAnsi" w:hAnsiTheme="minorHAnsi"/>
        </w:rPr>
        <w:t xml:space="preserve">debatable. </w:t>
      </w:r>
      <w:r w:rsidR="006E3001">
        <w:rPr>
          <w:rFonts w:asciiTheme="minorHAnsi" w:hAnsiTheme="minorHAnsi"/>
        </w:rPr>
        <w:t>In lay language</w:t>
      </w:r>
      <w:r w:rsidR="001A58CB">
        <w:rPr>
          <w:rFonts w:asciiTheme="minorHAnsi" w:hAnsiTheme="minorHAnsi"/>
        </w:rPr>
        <w:t>,</w:t>
      </w:r>
      <w:r w:rsidR="006E3001">
        <w:rPr>
          <w:rFonts w:asciiTheme="minorHAnsi" w:hAnsiTheme="minorHAnsi"/>
        </w:rPr>
        <w:t xml:space="preserve"> inefficiency i</w:t>
      </w:r>
      <w:r w:rsidR="00384B9E">
        <w:rPr>
          <w:rFonts w:asciiTheme="minorHAnsi" w:hAnsiTheme="minorHAnsi"/>
        </w:rPr>
        <w:t>s wastefulness. Wast</w:t>
      </w:r>
      <w:r w:rsidR="0065583B">
        <w:rPr>
          <w:rFonts w:asciiTheme="minorHAnsi" w:hAnsiTheme="minorHAnsi"/>
        </w:rPr>
        <w:t>ing scarce resources is a</w:t>
      </w:r>
      <w:r w:rsidR="00384B9E">
        <w:rPr>
          <w:rFonts w:asciiTheme="minorHAnsi" w:hAnsiTheme="minorHAnsi"/>
        </w:rPr>
        <w:t xml:space="preserve"> bad thing, but it is not the worst thing in the world</w:t>
      </w:r>
      <w:r w:rsidR="0065583B">
        <w:rPr>
          <w:rFonts w:asciiTheme="minorHAnsi" w:hAnsiTheme="minorHAnsi"/>
        </w:rPr>
        <w:t>,</w:t>
      </w:r>
      <w:r w:rsidR="00384B9E">
        <w:rPr>
          <w:rFonts w:asciiTheme="minorHAnsi" w:hAnsiTheme="minorHAnsi"/>
        </w:rPr>
        <w:t xml:space="preserve"> and </w:t>
      </w:r>
      <w:r w:rsidR="0065583B">
        <w:rPr>
          <w:rFonts w:asciiTheme="minorHAnsi" w:hAnsiTheme="minorHAnsi"/>
        </w:rPr>
        <w:t xml:space="preserve">putting resources to their highest uses </w:t>
      </w:r>
      <w:r w:rsidR="00384B9E">
        <w:rPr>
          <w:rFonts w:asciiTheme="minorHAnsi" w:hAnsiTheme="minorHAnsi"/>
        </w:rPr>
        <w:t xml:space="preserve">is not the best thing in the world. </w:t>
      </w:r>
      <w:r w:rsidR="00384269">
        <w:rPr>
          <w:rFonts w:asciiTheme="minorHAnsi" w:hAnsiTheme="minorHAnsi"/>
        </w:rPr>
        <w:t xml:space="preserve">The </w:t>
      </w:r>
      <w:r w:rsidR="00013F00">
        <w:rPr>
          <w:rFonts w:asciiTheme="minorHAnsi" w:hAnsiTheme="minorHAnsi"/>
        </w:rPr>
        <w:t xml:space="preserve">more precise </w:t>
      </w:r>
      <w:r w:rsidR="00384269">
        <w:rPr>
          <w:rFonts w:asciiTheme="minorHAnsi" w:hAnsiTheme="minorHAnsi"/>
        </w:rPr>
        <w:t xml:space="preserve">articulation of waste avoidance </w:t>
      </w:r>
      <w:r w:rsidR="00013F00">
        <w:rPr>
          <w:rFonts w:asciiTheme="minorHAnsi" w:hAnsiTheme="minorHAnsi"/>
        </w:rPr>
        <w:t>as wealth-maximization i</w:t>
      </w:r>
      <w:r w:rsidR="005B5DCF">
        <w:rPr>
          <w:rFonts w:asciiTheme="minorHAnsi" w:hAnsiTheme="minorHAnsi"/>
        </w:rPr>
        <w:t>s no doubt useful to the economic analysis of legal regimes, but it does not</w:t>
      </w:r>
      <w:r w:rsidR="008D36EC">
        <w:rPr>
          <w:rFonts w:asciiTheme="minorHAnsi" w:hAnsiTheme="minorHAnsi"/>
        </w:rPr>
        <w:t xml:space="preserve"> transform the avoidance of waste into a more important value. </w:t>
      </w:r>
      <w:r w:rsidR="005B5DCF">
        <w:rPr>
          <w:rFonts w:asciiTheme="minorHAnsi" w:hAnsiTheme="minorHAnsi"/>
        </w:rPr>
        <w:t xml:space="preserve">As Ronald </w:t>
      </w:r>
      <w:r w:rsidR="005B5DCF">
        <w:rPr>
          <w:rFonts w:asciiTheme="minorHAnsi" w:hAnsiTheme="minorHAnsi"/>
        </w:rPr>
        <w:lastRenderedPageBreak/>
        <w:t>Dworkin forcefully demonstrated decades ago, w</w:t>
      </w:r>
      <w:r w:rsidR="00F86E40">
        <w:rPr>
          <w:rFonts w:asciiTheme="minorHAnsi" w:hAnsiTheme="minorHAnsi"/>
        </w:rPr>
        <w:t xml:space="preserve">ealth itself is not </w:t>
      </w:r>
      <w:r w:rsidR="005B5DCF">
        <w:rPr>
          <w:rFonts w:asciiTheme="minorHAnsi" w:hAnsiTheme="minorHAnsi"/>
        </w:rPr>
        <w:t>a value</w:t>
      </w:r>
      <w:r w:rsidR="007D11AF">
        <w:rPr>
          <w:rFonts w:asciiTheme="minorHAnsi" w:hAnsiTheme="minorHAnsi"/>
        </w:rPr>
        <w:t>.</w:t>
      </w:r>
      <w:r w:rsidR="007D11AF">
        <w:rPr>
          <w:rStyle w:val="FootnoteReference"/>
          <w:rFonts w:asciiTheme="minorHAnsi" w:hAnsiTheme="minorHAnsi"/>
        </w:rPr>
        <w:footnoteReference w:id="42"/>
      </w:r>
      <w:r w:rsidR="007D11AF">
        <w:rPr>
          <w:rFonts w:asciiTheme="minorHAnsi" w:hAnsiTheme="minorHAnsi"/>
        </w:rPr>
        <w:t xml:space="preserve"> </w:t>
      </w:r>
      <w:r w:rsidR="00F86E40">
        <w:rPr>
          <w:rFonts w:asciiTheme="minorHAnsi" w:hAnsiTheme="minorHAnsi"/>
        </w:rPr>
        <w:t xml:space="preserve">Recognizing this, </w:t>
      </w:r>
      <w:r w:rsidR="008C7E02">
        <w:rPr>
          <w:rFonts w:asciiTheme="minorHAnsi" w:hAnsiTheme="minorHAnsi"/>
        </w:rPr>
        <w:t xml:space="preserve">academic champions of efficiency have come to defend wealth-maximization </w:t>
      </w:r>
      <w:r w:rsidR="005B5DCF">
        <w:rPr>
          <w:rFonts w:asciiTheme="minorHAnsi" w:hAnsiTheme="minorHAnsi"/>
        </w:rPr>
        <w:t>as a kind of false t</w:t>
      </w:r>
      <w:r w:rsidR="00013F00">
        <w:rPr>
          <w:rFonts w:asciiTheme="minorHAnsi" w:hAnsiTheme="minorHAnsi"/>
        </w:rPr>
        <w:t xml:space="preserve">arget for welfare. </w:t>
      </w:r>
      <w:r w:rsidR="00F47C8A">
        <w:rPr>
          <w:rFonts w:asciiTheme="minorHAnsi" w:hAnsiTheme="minorHAnsi"/>
        </w:rPr>
        <w:t>Within contemporary law and economics</w:t>
      </w:r>
      <w:r w:rsidR="008F1B8C">
        <w:rPr>
          <w:rFonts w:asciiTheme="minorHAnsi" w:hAnsiTheme="minorHAnsi"/>
        </w:rPr>
        <w:t>,</w:t>
      </w:r>
      <w:r w:rsidR="00F47C8A">
        <w:rPr>
          <w:rFonts w:asciiTheme="minorHAnsi" w:hAnsiTheme="minorHAnsi"/>
        </w:rPr>
        <w:t xml:space="preserve"> w</w:t>
      </w:r>
      <w:r w:rsidR="005B5DCF">
        <w:rPr>
          <w:rFonts w:asciiTheme="minorHAnsi" w:hAnsiTheme="minorHAnsi"/>
        </w:rPr>
        <w:t xml:space="preserve">ealth-maximization is </w:t>
      </w:r>
      <w:r w:rsidR="00F86E40">
        <w:rPr>
          <w:rFonts w:asciiTheme="minorHAnsi" w:hAnsiTheme="minorHAnsi"/>
        </w:rPr>
        <w:t>the proper end for</w:t>
      </w:r>
      <w:r w:rsidR="008C7E02">
        <w:rPr>
          <w:rFonts w:asciiTheme="minorHAnsi" w:hAnsiTheme="minorHAnsi"/>
        </w:rPr>
        <w:t xml:space="preserve"> </w:t>
      </w:r>
      <w:r w:rsidR="00F47C8A">
        <w:rPr>
          <w:rFonts w:asciiTheme="minorHAnsi" w:hAnsiTheme="minorHAnsi"/>
        </w:rPr>
        <w:t xml:space="preserve">most </w:t>
      </w:r>
      <w:r w:rsidR="008C7E02">
        <w:rPr>
          <w:rFonts w:asciiTheme="minorHAnsi" w:hAnsiTheme="minorHAnsi"/>
        </w:rPr>
        <w:t xml:space="preserve">legal institutions </w:t>
      </w:r>
      <w:r w:rsidR="005B5DCF">
        <w:rPr>
          <w:rFonts w:asciiTheme="minorHAnsi" w:hAnsiTheme="minorHAnsi"/>
        </w:rPr>
        <w:t xml:space="preserve">to pursue, but the value which justifies making efficiency the master criterion for evaluating </w:t>
      </w:r>
      <w:r w:rsidR="008D36EC">
        <w:rPr>
          <w:rFonts w:asciiTheme="minorHAnsi" w:hAnsiTheme="minorHAnsi"/>
        </w:rPr>
        <w:t xml:space="preserve">most legal regimes </w:t>
      </w:r>
      <w:r w:rsidR="005B5DCF">
        <w:rPr>
          <w:rFonts w:asciiTheme="minorHAnsi" w:hAnsiTheme="minorHAnsi"/>
        </w:rPr>
        <w:t>is welfare.</w:t>
      </w:r>
      <w:bookmarkStart w:id="8" w:name="_Ref510128328"/>
      <w:r w:rsidR="001A680D" w:rsidRPr="001A680D">
        <w:rPr>
          <w:rFonts w:asciiTheme="minorHAnsi" w:hAnsiTheme="minorHAnsi"/>
          <w:iCs/>
          <w:vertAlign w:val="superscript"/>
        </w:rPr>
        <w:footnoteReference w:id="43"/>
      </w:r>
      <w:bookmarkEnd w:id="8"/>
      <w:r w:rsidR="008C7E02">
        <w:rPr>
          <w:rFonts w:asciiTheme="minorHAnsi" w:hAnsiTheme="minorHAnsi"/>
        </w:rPr>
        <w:t xml:space="preserve"> </w:t>
      </w:r>
      <w:r w:rsidR="00384269">
        <w:rPr>
          <w:rFonts w:asciiTheme="minorHAnsi" w:hAnsiTheme="minorHAnsi"/>
        </w:rPr>
        <w:t xml:space="preserve">The </w:t>
      </w:r>
      <w:r w:rsidR="00415D96">
        <w:rPr>
          <w:rFonts w:asciiTheme="minorHAnsi" w:hAnsiTheme="minorHAnsi"/>
        </w:rPr>
        <w:t xml:space="preserve">best division of institutional labor prescribes that legal </w:t>
      </w:r>
      <w:r w:rsidR="00384269">
        <w:rPr>
          <w:rFonts w:asciiTheme="minorHAnsi" w:hAnsiTheme="minorHAnsi"/>
        </w:rPr>
        <w:t xml:space="preserve">institutions </w:t>
      </w:r>
      <w:r w:rsidR="001A680D">
        <w:rPr>
          <w:rFonts w:asciiTheme="minorHAnsi" w:hAnsiTheme="minorHAnsi"/>
        </w:rPr>
        <w:t>other than tax ought to maximize wealth</w:t>
      </w:r>
      <w:r w:rsidR="00235022">
        <w:rPr>
          <w:rFonts w:asciiTheme="minorHAnsi" w:hAnsiTheme="minorHAnsi"/>
        </w:rPr>
        <w:t>,</w:t>
      </w:r>
      <w:r w:rsidR="001A680D">
        <w:rPr>
          <w:rFonts w:asciiTheme="minorHAnsi" w:hAnsiTheme="minorHAnsi"/>
        </w:rPr>
        <w:t xml:space="preserve"> and the tax system ou</w:t>
      </w:r>
      <w:r w:rsidR="008D36EC">
        <w:rPr>
          <w:rFonts w:asciiTheme="minorHAnsi" w:hAnsiTheme="minorHAnsi"/>
        </w:rPr>
        <w:t>gh</w:t>
      </w:r>
      <w:r w:rsidR="001A680D">
        <w:rPr>
          <w:rFonts w:asciiTheme="minorHAnsi" w:hAnsiTheme="minorHAnsi"/>
        </w:rPr>
        <w:t>t to (re)distribute wealth in the way prescribed by some preferred social welfare function.</w:t>
      </w:r>
      <w:r w:rsidR="008D36EC">
        <w:rPr>
          <w:rStyle w:val="FootnoteReference"/>
          <w:rFonts w:asciiTheme="minorHAnsi" w:hAnsiTheme="minorHAnsi"/>
        </w:rPr>
        <w:footnoteReference w:id="44"/>
      </w:r>
      <w:r w:rsidR="001A680D">
        <w:rPr>
          <w:rFonts w:asciiTheme="minorHAnsi" w:hAnsiTheme="minorHAnsi"/>
        </w:rPr>
        <w:t xml:space="preserve"> Welfare</w:t>
      </w:r>
      <w:r w:rsidR="00013F00">
        <w:rPr>
          <w:rFonts w:asciiTheme="minorHAnsi" w:hAnsiTheme="minorHAnsi"/>
        </w:rPr>
        <w:t xml:space="preserve">, for its part, </w:t>
      </w:r>
      <w:r w:rsidR="001A680D">
        <w:rPr>
          <w:rFonts w:asciiTheme="minorHAnsi" w:hAnsiTheme="minorHAnsi"/>
        </w:rPr>
        <w:t xml:space="preserve">is </w:t>
      </w:r>
      <w:r w:rsidR="00384B9E">
        <w:rPr>
          <w:rFonts w:asciiTheme="minorHAnsi" w:hAnsiTheme="minorHAnsi"/>
        </w:rPr>
        <w:t xml:space="preserve">taken to be not only </w:t>
      </w:r>
      <w:r w:rsidR="00384B9E" w:rsidRPr="00F47C8A">
        <w:rPr>
          <w:rFonts w:asciiTheme="minorHAnsi" w:hAnsiTheme="minorHAnsi"/>
          <w:i/>
          <w:iCs/>
        </w:rPr>
        <w:t>a</w:t>
      </w:r>
      <w:r w:rsidR="00384B9E">
        <w:rPr>
          <w:rFonts w:asciiTheme="minorHAnsi" w:hAnsiTheme="minorHAnsi"/>
        </w:rPr>
        <w:t xml:space="preserve"> value, but </w:t>
      </w:r>
      <w:r w:rsidR="00384B9E" w:rsidRPr="00384B9E">
        <w:rPr>
          <w:rFonts w:asciiTheme="minorHAnsi" w:hAnsiTheme="minorHAnsi"/>
          <w:i/>
        </w:rPr>
        <w:t>the</w:t>
      </w:r>
      <w:r w:rsidR="00384B9E">
        <w:rPr>
          <w:rFonts w:asciiTheme="minorHAnsi" w:hAnsiTheme="minorHAnsi"/>
        </w:rPr>
        <w:t xml:space="preserve"> value. Other things are good only i</w:t>
      </w:r>
      <w:bookmarkStart w:id="9" w:name="_Ref339124065"/>
      <w:r w:rsidR="001A680D">
        <w:rPr>
          <w:rFonts w:asciiTheme="minorHAnsi" w:hAnsiTheme="minorHAnsi"/>
        </w:rPr>
        <w:t>nsofar as they promote welfare.</w:t>
      </w:r>
      <w:bookmarkEnd w:id="9"/>
    </w:p>
    <w:p w14:paraId="3BEF9A25" w14:textId="59AE5165" w:rsidR="003A07FA" w:rsidRDefault="00384B9E" w:rsidP="00EC12AB">
      <w:pPr>
        <w:jc w:val="both"/>
        <w:rPr>
          <w:rFonts w:asciiTheme="minorHAnsi" w:hAnsiTheme="minorHAnsi"/>
        </w:rPr>
      </w:pPr>
      <w:r>
        <w:rPr>
          <w:rFonts w:asciiTheme="minorHAnsi" w:hAnsiTheme="minorHAnsi"/>
        </w:rPr>
        <w:t xml:space="preserve">The claim that welfare is the </w:t>
      </w:r>
      <w:r w:rsidR="007D11AF">
        <w:rPr>
          <w:rFonts w:asciiTheme="minorHAnsi" w:hAnsiTheme="minorHAnsi"/>
        </w:rPr>
        <w:t>master value</w:t>
      </w:r>
      <w:r>
        <w:rPr>
          <w:rFonts w:asciiTheme="minorHAnsi" w:hAnsiTheme="minorHAnsi"/>
        </w:rPr>
        <w:t xml:space="preserve"> by which all laws and institutions are to be measured is plausible, but it is hardly un</w:t>
      </w:r>
      <w:r w:rsidR="007D11AF">
        <w:rPr>
          <w:rFonts w:asciiTheme="minorHAnsi" w:hAnsiTheme="minorHAnsi"/>
        </w:rPr>
        <w:t xml:space="preserve">controversial. </w:t>
      </w:r>
      <w:r w:rsidR="00F86E40">
        <w:rPr>
          <w:rFonts w:asciiTheme="minorHAnsi" w:hAnsiTheme="minorHAnsi"/>
        </w:rPr>
        <w:t xml:space="preserve">Philosophical </w:t>
      </w:r>
      <w:r w:rsidR="005B5DCF">
        <w:rPr>
          <w:rFonts w:asciiTheme="minorHAnsi" w:hAnsiTheme="minorHAnsi"/>
        </w:rPr>
        <w:t xml:space="preserve">and political </w:t>
      </w:r>
      <w:r w:rsidR="00F86E40">
        <w:rPr>
          <w:rFonts w:asciiTheme="minorHAnsi" w:hAnsiTheme="minorHAnsi"/>
        </w:rPr>
        <w:t>l</w:t>
      </w:r>
      <w:r w:rsidR="005B5DCF">
        <w:rPr>
          <w:rFonts w:asciiTheme="minorHAnsi" w:hAnsiTheme="minorHAnsi"/>
        </w:rPr>
        <w:t>iberalism have</w:t>
      </w:r>
      <w:r w:rsidR="007D11AF">
        <w:rPr>
          <w:rFonts w:asciiTheme="minorHAnsi" w:hAnsiTheme="minorHAnsi"/>
        </w:rPr>
        <w:t xml:space="preserve"> long </w:t>
      </w:r>
      <w:r>
        <w:rPr>
          <w:rFonts w:asciiTheme="minorHAnsi" w:hAnsiTheme="minorHAnsi"/>
        </w:rPr>
        <w:t>denied that we</w:t>
      </w:r>
      <w:r w:rsidR="005B5DCF">
        <w:rPr>
          <w:rFonts w:asciiTheme="minorHAnsi" w:hAnsiTheme="minorHAnsi"/>
        </w:rPr>
        <w:t xml:space="preserve">lfare is a master </w:t>
      </w:r>
      <w:r w:rsidR="00F43751">
        <w:rPr>
          <w:rFonts w:asciiTheme="minorHAnsi" w:hAnsiTheme="minorHAnsi"/>
        </w:rPr>
        <w:t>value and</w:t>
      </w:r>
      <w:r w:rsidR="005B5DCF">
        <w:rPr>
          <w:rFonts w:asciiTheme="minorHAnsi" w:hAnsiTheme="minorHAnsi"/>
        </w:rPr>
        <w:t xml:space="preserve"> have</w:t>
      </w:r>
      <w:r>
        <w:rPr>
          <w:rFonts w:asciiTheme="minorHAnsi" w:hAnsiTheme="minorHAnsi"/>
        </w:rPr>
        <w:t xml:space="preserve"> long </w:t>
      </w:r>
      <w:r w:rsidR="007D11AF">
        <w:rPr>
          <w:rFonts w:asciiTheme="minorHAnsi" w:hAnsiTheme="minorHAnsi"/>
        </w:rPr>
        <w:t xml:space="preserve">asserted that values are </w:t>
      </w:r>
      <w:r w:rsidR="00DC3B34">
        <w:rPr>
          <w:rFonts w:asciiTheme="minorHAnsi" w:hAnsiTheme="minorHAnsi"/>
        </w:rPr>
        <w:t xml:space="preserve">irreducibly </w:t>
      </w:r>
      <w:r w:rsidR="007D11AF">
        <w:rPr>
          <w:rFonts w:asciiTheme="minorHAnsi" w:hAnsiTheme="minorHAnsi"/>
        </w:rPr>
        <w:t>plural.</w:t>
      </w:r>
      <w:r>
        <w:rPr>
          <w:rStyle w:val="FootnoteReference"/>
          <w:rFonts w:asciiTheme="minorHAnsi" w:hAnsiTheme="minorHAnsi"/>
        </w:rPr>
        <w:footnoteReference w:id="45"/>
      </w:r>
      <w:r w:rsidR="007D11AF">
        <w:rPr>
          <w:rFonts w:asciiTheme="minorHAnsi" w:hAnsiTheme="minorHAnsi"/>
        </w:rPr>
        <w:t xml:space="preserve"> </w:t>
      </w:r>
      <w:r w:rsidR="007B01C8">
        <w:rPr>
          <w:rFonts w:asciiTheme="minorHAnsi" w:hAnsiTheme="minorHAnsi"/>
        </w:rPr>
        <w:t xml:space="preserve">Liberalism supposes that people </w:t>
      </w:r>
      <w:r w:rsidR="00DC3B34">
        <w:rPr>
          <w:rFonts w:asciiTheme="minorHAnsi" w:hAnsiTheme="minorHAnsi"/>
        </w:rPr>
        <w:t>have their own diverse co</w:t>
      </w:r>
      <w:r w:rsidR="007B01C8">
        <w:rPr>
          <w:rFonts w:asciiTheme="minorHAnsi" w:hAnsiTheme="minorHAnsi"/>
        </w:rPr>
        <w:t>nceptions of happiness and</w:t>
      </w:r>
      <w:r w:rsidR="00013F00">
        <w:rPr>
          <w:rFonts w:asciiTheme="minorHAnsi" w:hAnsiTheme="minorHAnsi"/>
        </w:rPr>
        <w:t xml:space="preserve"> that</w:t>
      </w:r>
      <w:r w:rsidR="007B01C8">
        <w:rPr>
          <w:rFonts w:asciiTheme="minorHAnsi" w:hAnsiTheme="minorHAnsi"/>
        </w:rPr>
        <w:t xml:space="preserve"> </w:t>
      </w:r>
      <w:r w:rsidR="00DC3B34">
        <w:rPr>
          <w:rFonts w:asciiTheme="minorHAnsi" w:hAnsiTheme="minorHAnsi"/>
        </w:rPr>
        <w:t xml:space="preserve">the pursuit of those conceptions is best left to persons themselves. </w:t>
      </w:r>
      <w:r w:rsidR="006C21FB">
        <w:rPr>
          <w:rFonts w:asciiTheme="minorHAnsi" w:hAnsiTheme="minorHAnsi"/>
        </w:rPr>
        <w:t xml:space="preserve">People, not the state, are primarily responsible for their own welfare. </w:t>
      </w:r>
      <w:r w:rsidR="006B25DF">
        <w:rPr>
          <w:rFonts w:asciiTheme="minorHAnsi" w:hAnsiTheme="minorHAnsi"/>
        </w:rPr>
        <w:t xml:space="preserve">The basic role of the state, on a liberal view, is to establish </w:t>
      </w:r>
      <w:r w:rsidR="00013F00">
        <w:rPr>
          <w:rFonts w:asciiTheme="minorHAnsi" w:hAnsiTheme="minorHAnsi"/>
        </w:rPr>
        <w:t xml:space="preserve">the institutional and material conditions of effective agency so that people may </w:t>
      </w:r>
      <w:r w:rsidR="004C219F">
        <w:rPr>
          <w:rFonts w:asciiTheme="minorHAnsi" w:hAnsiTheme="minorHAnsi"/>
        </w:rPr>
        <w:t xml:space="preserve">pursue happiness as they conceive it. </w:t>
      </w:r>
      <w:r w:rsidR="002B4916">
        <w:rPr>
          <w:rFonts w:asciiTheme="minorHAnsi" w:hAnsiTheme="minorHAnsi"/>
        </w:rPr>
        <w:t>S</w:t>
      </w:r>
      <w:r w:rsidR="007B01C8">
        <w:rPr>
          <w:rFonts w:asciiTheme="minorHAnsi" w:hAnsiTheme="minorHAnsi"/>
        </w:rPr>
        <w:t xml:space="preserve">ecuring the conditions of effective agency is a matter of justice, and the claims of justice have priority over the claims of efficiency. </w:t>
      </w:r>
      <w:r w:rsidR="003A07FA">
        <w:rPr>
          <w:rFonts w:asciiTheme="minorHAnsi" w:hAnsiTheme="minorHAnsi"/>
        </w:rPr>
        <w:t xml:space="preserve">This is hardly a novel thought. Indeed, </w:t>
      </w:r>
      <w:r w:rsidR="00C93A0E">
        <w:rPr>
          <w:rFonts w:asciiTheme="minorHAnsi" w:hAnsiTheme="minorHAnsi"/>
        </w:rPr>
        <w:t xml:space="preserve">this claim is asserted by </w:t>
      </w:r>
      <w:r w:rsidR="003A07FA">
        <w:rPr>
          <w:rFonts w:asciiTheme="minorHAnsi" w:hAnsiTheme="minorHAnsi"/>
        </w:rPr>
        <w:t xml:space="preserve">the most prominent liberal theory of justice </w:t>
      </w:r>
      <w:r w:rsidR="00C93A0E">
        <w:rPr>
          <w:rFonts w:asciiTheme="minorHAnsi" w:hAnsiTheme="minorHAnsi"/>
        </w:rPr>
        <w:t xml:space="preserve">of the past century. </w:t>
      </w:r>
      <w:r w:rsidR="003A07FA">
        <w:rPr>
          <w:rFonts w:asciiTheme="minorHAnsi" w:hAnsiTheme="minorHAnsi"/>
        </w:rPr>
        <w:t xml:space="preserve"> </w:t>
      </w:r>
    </w:p>
    <w:p w14:paraId="2432A4E2" w14:textId="0BC21D80" w:rsidR="00D83C47" w:rsidRDefault="00E8593F" w:rsidP="00EC12AB">
      <w:pPr>
        <w:jc w:val="both"/>
        <w:rPr>
          <w:rFonts w:asciiTheme="minorHAnsi" w:hAnsiTheme="minorHAnsi"/>
        </w:rPr>
      </w:pPr>
      <w:r>
        <w:rPr>
          <w:rFonts w:asciiTheme="minorHAnsi" w:hAnsiTheme="minorHAnsi"/>
        </w:rPr>
        <w:t>Safety is a natural candidate for special priority</w:t>
      </w:r>
      <w:r w:rsidR="00BF0416">
        <w:rPr>
          <w:rFonts w:asciiTheme="minorHAnsi" w:hAnsiTheme="minorHAnsi"/>
        </w:rPr>
        <w:t>.</w:t>
      </w:r>
      <w:r>
        <w:rPr>
          <w:rFonts w:asciiTheme="minorHAnsi" w:hAnsiTheme="minorHAnsi"/>
        </w:rPr>
        <w:t xml:space="preserve"> </w:t>
      </w:r>
      <w:r w:rsidR="002521F0">
        <w:rPr>
          <w:rFonts w:asciiTheme="minorHAnsi" w:hAnsiTheme="minorHAnsi"/>
        </w:rPr>
        <w:t xml:space="preserve">We don’t need to </w:t>
      </w:r>
      <w:r w:rsidR="003A07FA">
        <w:rPr>
          <w:rFonts w:asciiTheme="minorHAnsi" w:hAnsiTheme="minorHAnsi"/>
        </w:rPr>
        <w:t xml:space="preserve">invoke efficiency to </w:t>
      </w:r>
      <w:r w:rsidR="002521F0">
        <w:rPr>
          <w:rFonts w:asciiTheme="minorHAnsi" w:hAnsiTheme="minorHAnsi"/>
        </w:rPr>
        <w:t xml:space="preserve">explain why we want our </w:t>
      </w:r>
      <w:r w:rsidR="003A07FA">
        <w:rPr>
          <w:rFonts w:asciiTheme="minorHAnsi" w:hAnsiTheme="minorHAnsi"/>
        </w:rPr>
        <w:t xml:space="preserve">cars, our </w:t>
      </w:r>
      <w:r w:rsidR="002521F0">
        <w:rPr>
          <w:rFonts w:asciiTheme="minorHAnsi" w:hAnsiTheme="minorHAnsi"/>
        </w:rPr>
        <w:t>schools</w:t>
      </w:r>
      <w:r>
        <w:rPr>
          <w:rFonts w:asciiTheme="minorHAnsi" w:hAnsiTheme="minorHAnsi"/>
        </w:rPr>
        <w:t>, our air</w:t>
      </w:r>
      <w:r w:rsidR="002B4916">
        <w:rPr>
          <w:rFonts w:asciiTheme="minorHAnsi" w:hAnsiTheme="minorHAnsi"/>
        </w:rPr>
        <w:t xml:space="preserve">, </w:t>
      </w:r>
      <w:r w:rsidR="002521F0">
        <w:rPr>
          <w:rFonts w:asciiTheme="minorHAnsi" w:hAnsiTheme="minorHAnsi"/>
        </w:rPr>
        <w:t>and</w:t>
      </w:r>
      <w:r>
        <w:rPr>
          <w:rFonts w:asciiTheme="minorHAnsi" w:hAnsiTheme="minorHAnsi"/>
        </w:rPr>
        <w:t xml:space="preserve"> our drinking water to be safe. Safety secures </w:t>
      </w:r>
      <w:r w:rsidR="004C219F">
        <w:rPr>
          <w:rFonts w:asciiTheme="minorHAnsi" w:hAnsiTheme="minorHAnsi"/>
        </w:rPr>
        <w:t>the physical and psycholo</w:t>
      </w:r>
      <w:r>
        <w:rPr>
          <w:rFonts w:asciiTheme="minorHAnsi" w:hAnsiTheme="minorHAnsi"/>
        </w:rPr>
        <w:t xml:space="preserve">gical integrity of </w:t>
      </w:r>
      <w:r w:rsidR="003C57A2">
        <w:rPr>
          <w:rFonts w:asciiTheme="minorHAnsi" w:hAnsiTheme="minorHAnsi"/>
        </w:rPr>
        <w:t xml:space="preserve">our </w:t>
      </w:r>
      <w:r>
        <w:rPr>
          <w:rFonts w:asciiTheme="minorHAnsi" w:hAnsiTheme="minorHAnsi"/>
        </w:rPr>
        <w:t>person</w:t>
      </w:r>
      <w:r w:rsidR="003C57A2">
        <w:rPr>
          <w:rFonts w:asciiTheme="minorHAnsi" w:hAnsiTheme="minorHAnsi"/>
        </w:rPr>
        <w:t>s</w:t>
      </w:r>
      <w:r>
        <w:rPr>
          <w:rFonts w:asciiTheme="minorHAnsi" w:hAnsiTheme="minorHAnsi"/>
        </w:rPr>
        <w:t xml:space="preserve"> and that integrity is a precondition of effective agency. </w:t>
      </w:r>
      <w:r w:rsidR="00DC3B34">
        <w:rPr>
          <w:rFonts w:asciiTheme="minorHAnsi" w:hAnsiTheme="minorHAnsi"/>
        </w:rPr>
        <w:t>S</w:t>
      </w:r>
      <w:r w:rsidR="004C219F">
        <w:rPr>
          <w:rFonts w:asciiTheme="minorHAnsi" w:hAnsiTheme="minorHAnsi"/>
        </w:rPr>
        <w:t xml:space="preserve">afety </w:t>
      </w:r>
      <w:r w:rsidR="00DC3B34">
        <w:rPr>
          <w:rFonts w:asciiTheme="minorHAnsi" w:hAnsiTheme="minorHAnsi"/>
        </w:rPr>
        <w:t xml:space="preserve">thus </w:t>
      </w:r>
      <w:r w:rsidR="004C219F">
        <w:rPr>
          <w:rFonts w:asciiTheme="minorHAnsi" w:hAnsiTheme="minorHAnsi"/>
        </w:rPr>
        <w:t xml:space="preserve">has </w:t>
      </w:r>
      <w:r w:rsidR="005F3B9D">
        <w:rPr>
          <w:rFonts w:asciiTheme="minorHAnsi" w:hAnsiTheme="minorHAnsi"/>
        </w:rPr>
        <w:t>a claim to being especially important, a</w:t>
      </w:r>
      <w:r w:rsidR="004C219F">
        <w:rPr>
          <w:rFonts w:asciiTheme="minorHAnsi" w:hAnsiTheme="minorHAnsi"/>
        </w:rPr>
        <w:t xml:space="preserve">nd its special </w:t>
      </w:r>
      <w:r w:rsidR="005F3B9D">
        <w:rPr>
          <w:rFonts w:asciiTheme="minorHAnsi" w:hAnsiTheme="minorHAnsi"/>
        </w:rPr>
        <w:t xml:space="preserve">importance </w:t>
      </w:r>
      <w:r w:rsidR="004C219F">
        <w:rPr>
          <w:rFonts w:asciiTheme="minorHAnsi" w:hAnsiTheme="minorHAnsi"/>
        </w:rPr>
        <w:t xml:space="preserve">presumably means that it is worth securing at some cost in economic efficiency. </w:t>
      </w:r>
      <w:r w:rsidR="005B5DCF">
        <w:rPr>
          <w:rFonts w:asciiTheme="minorHAnsi" w:hAnsiTheme="minorHAnsi"/>
        </w:rPr>
        <w:t>Because our legal and political discourse is divided between competing moral conceptions</w:t>
      </w:r>
      <w:r w:rsidR="002521F0">
        <w:rPr>
          <w:rFonts w:asciiTheme="minorHAnsi" w:hAnsiTheme="minorHAnsi"/>
        </w:rPr>
        <w:t>—so that efficiency is not universally regarded as the master value for all law and public policy—</w:t>
      </w:r>
      <w:r w:rsidR="005B5DCF">
        <w:rPr>
          <w:rFonts w:asciiTheme="minorHAnsi" w:hAnsiTheme="minorHAnsi"/>
        </w:rPr>
        <w:t xml:space="preserve">it is surprising to be told that </w:t>
      </w:r>
      <w:r w:rsidR="005B501F">
        <w:rPr>
          <w:rFonts w:asciiTheme="minorHAnsi" w:hAnsiTheme="minorHAnsi"/>
        </w:rPr>
        <w:t>cost-benefit analysis</w:t>
      </w:r>
      <w:r w:rsidR="002521F0">
        <w:rPr>
          <w:rFonts w:asciiTheme="minorHAnsi" w:hAnsiTheme="minorHAnsi"/>
        </w:rPr>
        <w:t xml:space="preserve"> is </w:t>
      </w:r>
      <w:r w:rsidR="005B501F">
        <w:rPr>
          <w:rFonts w:asciiTheme="minorHAnsi" w:hAnsiTheme="minorHAnsi"/>
        </w:rPr>
        <w:t>the only game in town</w:t>
      </w:r>
      <w:r w:rsidR="004A3C8D">
        <w:rPr>
          <w:rFonts w:asciiTheme="minorHAnsi" w:hAnsiTheme="minorHAnsi"/>
        </w:rPr>
        <w:t xml:space="preserve">. </w:t>
      </w:r>
      <w:r w:rsidR="00B13B57">
        <w:rPr>
          <w:rFonts w:asciiTheme="minorHAnsi" w:hAnsiTheme="minorHAnsi"/>
        </w:rPr>
        <w:t xml:space="preserve">Cost-benefit analysis expresses one point of view, not the only </w:t>
      </w:r>
      <w:r w:rsidR="005F3B9D">
        <w:rPr>
          <w:rFonts w:asciiTheme="minorHAnsi" w:hAnsiTheme="minorHAnsi"/>
        </w:rPr>
        <w:t xml:space="preserve">possible </w:t>
      </w:r>
      <w:r w:rsidR="00B13B57">
        <w:rPr>
          <w:rFonts w:asciiTheme="minorHAnsi" w:hAnsiTheme="minorHAnsi"/>
        </w:rPr>
        <w:t>point of view. Philosophical and political liberalism expresse</w:t>
      </w:r>
      <w:r w:rsidR="00BF0416">
        <w:rPr>
          <w:rFonts w:asciiTheme="minorHAnsi" w:hAnsiTheme="minorHAnsi"/>
        </w:rPr>
        <w:t>s another point of view</w:t>
      </w:r>
      <w:r w:rsidR="000939AE">
        <w:rPr>
          <w:rFonts w:asciiTheme="minorHAnsi" w:hAnsiTheme="minorHAnsi"/>
        </w:rPr>
        <w:t>, one</w:t>
      </w:r>
      <w:r w:rsidR="00BF0416">
        <w:rPr>
          <w:rFonts w:asciiTheme="minorHAnsi" w:hAnsiTheme="minorHAnsi"/>
        </w:rPr>
        <w:t xml:space="preserve"> </w:t>
      </w:r>
      <w:r w:rsidR="00034883">
        <w:rPr>
          <w:rFonts w:asciiTheme="minorHAnsi" w:hAnsiTheme="minorHAnsi"/>
        </w:rPr>
        <w:t xml:space="preserve">that </w:t>
      </w:r>
      <w:r w:rsidR="00B13B57">
        <w:rPr>
          <w:rFonts w:asciiTheme="minorHAnsi" w:hAnsiTheme="minorHAnsi"/>
        </w:rPr>
        <w:t xml:space="preserve">gives us presumptive </w:t>
      </w:r>
      <w:r w:rsidR="004A3C8D">
        <w:rPr>
          <w:rFonts w:asciiTheme="minorHAnsi" w:hAnsiTheme="minorHAnsi"/>
        </w:rPr>
        <w:t>reason to suppose that standards of precaution should prioritize safety.</w:t>
      </w:r>
      <w:r w:rsidR="00D83C47">
        <w:rPr>
          <w:rFonts w:asciiTheme="minorHAnsi" w:hAnsiTheme="minorHAnsi"/>
        </w:rPr>
        <w:t xml:space="preserve"> Moreover, </w:t>
      </w:r>
      <w:r w:rsidR="004A3C8D">
        <w:rPr>
          <w:rFonts w:asciiTheme="minorHAnsi" w:hAnsiTheme="minorHAnsi"/>
        </w:rPr>
        <w:t>s</w:t>
      </w:r>
      <w:r w:rsidR="00AC78AA">
        <w:rPr>
          <w:rFonts w:asciiTheme="minorHAnsi" w:hAnsiTheme="minorHAnsi"/>
        </w:rPr>
        <w:t xml:space="preserve">tandards of </w:t>
      </w:r>
      <w:r w:rsidR="00687531" w:rsidRPr="00687531">
        <w:rPr>
          <w:rFonts w:asciiTheme="minorHAnsi" w:hAnsiTheme="minorHAnsi"/>
        </w:rPr>
        <w:t xml:space="preserve">precaution other than cost-benefit </w:t>
      </w:r>
      <w:r w:rsidR="00687531">
        <w:rPr>
          <w:rFonts w:asciiTheme="minorHAnsi" w:hAnsiTheme="minorHAnsi"/>
        </w:rPr>
        <w:t>analysis are common in our law.</w:t>
      </w:r>
      <w:r w:rsidR="005F3B9D">
        <w:rPr>
          <w:rFonts w:asciiTheme="minorHAnsi" w:hAnsiTheme="minorHAnsi"/>
          <w:b/>
        </w:rPr>
        <w:t xml:space="preserve"> </w:t>
      </w:r>
      <w:r w:rsidR="001A680D" w:rsidRPr="001A680D">
        <w:rPr>
          <w:rFonts w:asciiTheme="minorHAnsi" w:hAnsiTheme="minorHAnsi"/>
        </w:rPr>
        <w:t>Federal statutory standards governing health, environmental</w:t>
      </w:r>
      <w:r w:rsidR="00034883">
        <w:rPr>
          <w:rFonts w:asciiTheme="minorHAnsi" w:hAnsiTheme="minorHAnsi"/>
        </w:rPr>
        <w:t>,</w:t>
      </w:r>
      <w:r w:rsidR="001A680D" w:rsidRPr="001A680D">
        <w:rPr>
          <w:rFonts w:asciiTheme="minorHAnsi" w:hAnsiTheme="minorHAnsi"/>
        </w:rPr>
        <w:t xml:space="preserve"> and safety regulation often insist that some activity be made “safe” or that some risk</w:t>
      </w:r>
      <w:r>
        <w:rPr>
          <w:rFonts w:asciiTheme="minorHAnsi" w:hAnsiTheme="minorHAnsi"/>
        </w:rPr>
        <w:t>s</w:t>
      </w:r>
      <w:r w:rsidR="001A680D" w:rsidRPr="001A680D">
        <w:rPr>
          <w:rFonts w:asciiTheme="minorHAnsi" w:hAnsiTheme="minorHAnsi"/>
        </w:rPr>
        <w:t xml:space="preserve"> be reduced to the point where further reduction would be “infeasible.” </w:t>
      </w:r>
      <w:r w:rsidR="007A07E0">
        <w:rPr>
          <w:rFonts w:asciiTheme="minorHAnsi" w:hAnsiTheme="minorHAnsi"/>
        </w:rPr>
        <w:t xml:space="preserve">The only question is whether theory </w:t>
      </w:r>
      <w:r w:rsidR="002B4916">
        <w:rPr>
          <w:rFonts w:asciiTheme="minorHAnsi" w:hAnsiTheme="minorHAnsi"/>
        </w:rPr>
        <w:t>and practice are in harmony.</w:t>
      </w:r>
      <w:r w:rsidR="007A07E0">
        <w:rPr>
          <w:rFonts w:asciiTheme="minorHAnsi" w:hAnsiTheme="minorHAnsi"/>
        </w:rPr>
        <w:t xml:space="preserve"> </w:t>
      </w:r>
    </w:p>
    <w:p w14:paraId="4F10EA84" w14:textId="2662F5A8" w:rsidR="007A07E0" w:rsidRDefault="00CC3180" w:rsidP="00EC12AB">
      <w:pPr>
        <w:jc w:val="both"/>
        <w:rPr>
          <w:rFonts w:asciiTheme="minorHAnsi" w:hAnsiTheme="minorHAnsi"/>
        </w:rPr>
      </w:pPr>
      <w:r>
        <w:rPr>
          <w:rFonts w:asciiTheme="minorHAnsi" w:hAnsiTheme="minorHAnsi"/>
        </w:rPr>
        <w:lastRenderedPageBreak/>
        <w:t xml:space="preserve">Champions of cost-benefit analysis are correct on their own terms. </w:t>
      </w:r>
      <w:r w:rsidR="00984CC2">
        <w:rPr>
          <w:rFonts w:asciiTheme="minorHAnsi" w:hAnsiTheme="minorHAnsi"/>
        </w:rPr>
        <w:t xml:space="preserve">Within the framework of cost-benefit analysis, </w:t>
      </w:r>
      <w:r w:rsidR="00393852">
        <w:rPr>
          <w:rFonts w:asciiTheme="minorHAnsi" w:hAnsiTheme="minorHAnsi"/>
        </w:rPr>
        <w:t>taking more than cost-justified precaution is flatly irrational. H</w:t>
      </w:r>
      <w:r w:rsidR="00984CC2">
        <w:rPr>
          <w:rFonts w:asciiTheme="minorHAnsi" w:hAnsiTheme="minorHAnsi"/>
        </w:rPr>
        <w:t>owever high a price we set o</w:t>
      </w:r>
      <w:r w:rsidR="00393852">
        <w:rPr>
          <w:rFonts w:asciiTheme="minorHAnsi" w:hAnsiTheme="minorHAnsi"/>
        </w:rPr>
        <w:t>n avoiding serious physical injury</w:t>
      </w:r>
      <w:r w:rsidR="00984CC2">
        <w:rPr>
          <w:rFonts w:asciiTheme="minorHAnsi" w:hAnsiTheme="minorHAnsi"/>
        </w:rPr>
        <w:t>, illness</w:t>
      </w:r>
      <w:r w:rsidR="007A07E0">
        <w:rPr>
          <w:rFonts w:asciiTheme="minorHAnsi" w:hAnsiTheme="minorHAnsi"/>
        </w:rPr>
        <w:t>,</w:t>
      </w:r>
      <w:r w:rsidR="00984CC2">
        <w:rPr>
          <w:rFonts w:asciiTheme="minorHAnsi" w:hAnsiTheme="minorHAnsi"/>
        </w:rPr>
        <w:t xml:space="preserve"> and premature death</w:t>
      </w:r>
      <w:r w:rsidR="00034883">
        <w:rPr>
          <w:rFonts w:asciiTheme="minorHAnsi" w:hAnsiTheme="minorHAnsi"/>
        </w:rPr>
        <w:t>,</w:t>
      </w:r>
      <w:r w:rsidR="00984CC2">
        <w:rPr>
          <w:rFonts w:asciiTheme="minorHAnsi" w:hAnsiTheme="minorHAnsi"/>
        </w:rPr>
        <w:t xml:space="preserve"> we</w:t>
      </w:r>
      <w:r w:rsidR="00393852">
        <w:rPr>
          <w:rFonts w:asciiTheme="minorHAnsi" w:hAnsiTheme="minorHAnsi"/>
        </w:rPr>
        <w:t xml:space="preserve"> should still trade th</w:t>
      </w:r>
      <w:r w:rsidR="00984CC2">
        <w:rPr>
          <w:rFonts w:asciiTheme="minorHAnsi" w:hAnsiTheme="minorHAnsi"/>
        </w:rPr>
        <w:t xml:space="preserve">e benefits </w:t>
      </w:r>
      <w:r w:rsidR="00393852">
        <w:rPr>
          <w:rFonts w:asciiTheme="minorHAnsi" w:hAnsiTheme="minorHAnsi"/>
        </w:rPr>
        <w:t xml:space="preserve">of averting those harms </w:t>
      </w:r>
      <w:r w:rsidR="00984CC2">
        <w:rPr>
          <w:rFonts w:asciiTheme="minorHAnsi" w:hAnsiTheme="minorHAnsi"/>
        </w:rPr>
        <w:t xml:space="preserve">off against the costs of obtaining them in a way </w:t>
      </w:r>
      <w:r w:rsidR="00034883">
        <w:rPr>
          <w:rFonts w:asciiTheme="minorHAnsi" w:hAnsiTheme="minorHAnsi"/>
        </w:rPr>
        <w:t xml:space="preserve">that </w:t>
      </w:r>
      <w:r w:rsidR="00A653DA">
        <w:rPr>
          <w:rFonts w:asciiTheme="minorHAnsi" w:hAnsiTheme="minorHAnsi"/>
        </w:rPr>
        <w:t>maximizes benefit and minimizes</w:t>
      </w:r>
      <w:r w:rsidR="00984CC2">
        <w:rPr>
          <w:rFonts w:asciiTheme="minorHAnsi" w:hAnsiTheme="minorHAnsi"/>
        </w:rPr>
        <w:t xml:space="preserve"> cost</w:t>
      </w:r>
      <w:r w:rsidR="00A653DA">
        <w:rPr>
          <w:rFonts w:asciiTheme="minorHAnsi" w:hAnsiTheme="minorHAnsi"/>
        </w:rPr>
        <w:t>s</w:t>
      </w:r>
      <w:r w:rsidR="00984CC2">
        <w:rPr>
          <w:rFonts w:asciiTheme="minorHAnsi" w:hAnsiTheme="minorHAnsi"/>
        </w:rPr>
        <w:t xml:space="preserve">. </w:t>
      </w:r>
      <w:r w:rsidR="00393852">
        <w:rPr>
          <w:rFonts w:asciiTheme="minorHAnsi" w:hAnsiTheme="minorHAnsi"/>
        </w:rPr>
        <w:t xml:space="preserve">When we press beyond the point of cost-justified precaution, the cost of avoiding harm is greater than </w:t>
      </w:r>
      <w:r w:rsidR="007A07E0">
        <w:rPr>
          <w:rFonts w:asciiTheme="minorHAnsi" w:hAnsiTheme="minorHAnsi"/>
        </w:rPr>
        <w:t xml:space="preserve">the </w:t>
      </w:r>
      <w:r w:rsidR="00393852">
        <w:rPr>
          <w:rFonts w:asciiTheme="minorHAnsi" w:hAnsiTheme="minorHAnsi"/>
        </w:rPr>
        <w:t xml:space="preserve">benefit of doing so. </w:t>
      </w:r>
      <w:r w:rsidR="00393852" w:rsidRPr="00393852">
        <w:rPr>
          <w:rFonts w:asciiTheme="minorHAnsi" w:hAnsiTheme="minorHAnsi"/>
        </w:rPr>
        <w:t xml:space="preserve">Taking more than efficient precaution makes us less wealthy. </w:t>
      </w:r>
      <w:r w:rsidR="00393852">
        <w:rPr>
          <w:rFonts w:asciiTheme="minorHAnsi" w:hAnsiTheme="minorHAnsi"/>
        </w:rPr>
        <w:t xml:space="preserve">That squandering of wealth </w:t>
      </w:r>
      <w:r w:rsidR="002B4916">
        <w:rPr>
          <w:rFonts w:asciiTheme="minorHAnsi" w:hAnsiTheme="minorHAnsi"/>
        </w:rPr>
        <w:t xml:space="preserve">diminishes the pool of resources available to us to pursue </w:t>
      </w:r>
      <w:r w:rsidR="00393852">
        <w:rPr>
          <w:rFonts w:asciiTheme="minorHAnsi" w:hAnsiTheme="minorHAnsi"/>
        </w:rPr>
        <w:t xml:space="preserve">social welfare. </w:t>
      </w:r>
      <w:r w:rsidR="002B4916">
        <w:rPr>
          <w:rFonts w:asciiTheme="minorHAnsi" w:hAnsiTheme="minorHAnsi"/>
        </w:rPr>
        <w:t xml:space="preserve">However, the terms according to which inefficient precaution is irrational precaution </w:t>
      </w:r>
      <w:r w:rsidR="002521F0">
        <w:rPr>
          <w:rFonts w:asciiTheme="minorHAnsi" w:hAnsiTheme="minorHAnsi"/>
        </w:rPr>
        <w:t xml:space="preserve">are </w:t>
      </w:r>
      <w:r w:rsidR="002B4916">
        <w:rPr>
          <w:rFonts w:asciiTheme="minorHAnsi" w:hAnsiTheme="minorHAnsi"/>
        </w:rPr>
        <w:t>themselves suspect</w:t>
      </w:r>
      <w:r w:rsidR="002521F0">
        <w:rPr>
          <w:rFonts w:asciiTheme="minorHAnsi" w:hAnsiTheme="minorHAnsi"/>
        </w:rPr>
        <w:t>.</w:t>
      </w:r>
      <w:r w:rsidR="000939AE">
        <w:rPr>
          <w:rFonts w:asciiTheme="minorHAnsi" w:hAnsiTheme="minorHAnsi"/>
        </w:rPr>
        <w:t xml:space="preserve"> Cost-benefit analysis insists that all good and bad things are fungible at some ratio of exchange. T</w:t>
      </w:r>
      <w:r w:rsidR="009138A4">
        <w:rPr>
          <w:rFonts w:asciiTheme="minorHAnsi" w:hAnsiTheme="minorHAnsi"/>
        </w:rPr>
        <w:t>his assertion</w:t>
      </w:r>
      <w:r w:rsidR="000939AE">
        <w:rPr>
          <w:rFonts w:asciiTheme="minorHAnsi" w:hAnsiTheme="minorHAnsi"/>
        </w:rPr>
        <w:t xml:space="preserve"> depends on the deeper claim that welfare is the only value, and that welfare can and should be measured in the metric of money. </w:t>
      </w:r>
      <w:r w:rsidR="009138A4">
        <w:rPr>
          <w:rFonts w:asciiTheme="minorHAnsi" w:hAnsiTheme="minorHAnsi"/>
        </w:rPr>
        <w:t>Our law and our morality contradict these claims.</w:t>
      </w:r>
      <w:r w:rsidR="009138A4" w:rsidRPr="009138A4">
        <w:rPr>
          <w:rFonts w:asciiTheme="minorHAnsi" w:hAnsiTheme="minorHAnsi"/>
        </w:rPr>
        <w:t xml:space="preserve"> The asymmetry of harm and benefit is a firmly entrenched feature o</w:t>
      </w:r>
      <w:r w:rsidR="009138A4">
        <w:rPr>
          <w:rFonts w:asciiTheme="minorHAnsi" w:hAnsiTheme="minorHAnsi"/>
        </w:rPr>
        <w:t>f both law and morality, and c</w:t>
      </w:r>
      <w:r w:rsidR="000939AE">
        <w:rPr>
          <w:rFonts w:asciiTheme="minorHAnsi" w:hAnsiTheme="minorHAnsi"/>
        </w:rPr>
        <w:t xml:space="preserve">ommon sense moral conviction holds </w:t>
      </w:r>
      <w:r>
        <w:rPr>
          <w:rFonts w:asciiTheme="minorHAnsi" w:hAnsiTheme="minorHAnsi"/>
        </w:rPr>
        <w:t>that the avoidance of harm does and should have</w:t>
      </w:r>
      <w:r w:rsidR="00A653DA">
        <w:rPr>
          <w:rFonts w:asciiTheme="minorHAnsi" w:hAnsiTheme="minorHAnsi"/>
        </w:rPr>
        <w:t xml:space="preserve"> special priority</w:t>
      </w:r>
      <w:r w:rsidR="00394926">
        <w:rPr>
          <w:rFonts w:asciiTheme="minorHAnsi" w:hAnsiTheme="minorHAnsi"/>
        </w:rPr>
        <w:t>.</w:t>
      </w:r>
      <w:bookmarkStart w:id="10" w:name="_Ref510201252"/>
      <w:r>
        <w:rPr>
          <w:rStyle w:val="FootnoteReference"/>
          <w:rFonts w:asciiTheme="minorHAnsi" w:hAnsiTheme="minorHAnsi"/>
        </w:rPr>
        <w:footnoteReference w:id="46"/>
      </w:r>
      <w:bookmarkEnd w:id="10"/>
      <w:r w:rsidR="00394926">
        <w:rPr>
          <w:rFonts w:asciiTheme="minorHAnsi" w:hAnsiTheme="minorHAnsi"/>
        </w:rPr>
        <w:t xml:space="preserve"> </w:t>
      </w:r>
      <w:r w:rsidR="007A07E0">
        <w:rPr>
          <w:rFonts w:asciiTheme="minorHAnsi" w:hAnsiTheme="minorHAnsi"/>
        </w:rPr>
        <w:t>Liberal d</w:t>
      </w:r>
      <w:r w:rsidR="00393852">
        <w:rPr>
          <w:rFonts w:asciiTheme="minorHAnsi" w:hAnsiTheme="minorHAnsi"/>
        </w:rPr>
        <w:t xml:space="preserve">eontology </w:t>
      </w:r>
      <w:r w:rsidR="007A07E0">
        <w:rPr>
          <w:rFonts w:asciiTheme="minorHAnsi" w:hAnsiTheme="minorHAnsi"/>
        </w:rPr>
        <w:t>explains why</w:t>
      </w:r>
      <w:r w:rsidR="000939AE">
        <w:rPr>
          <w:rFonts w:asciiTheme="minorHAnsi" w:hAnsiTheme="minorHAnsi"/>
        </w:rPr>
        <w:t xml:space="preserve"> this entrenchment is </w:t>
      </w:r>
      <w:r w:rsidR="009138A4">
        <w:rPr>
          <w:rFonts w:asciiTheme="minorHAnsi" w:hAnsiTheme="minorHAnsi"/>
        </w:rPr>
        <w:t>not irrational but justifiable</w:t>
      </w:r>
      <w:r w:rsidR="007A07E0">
        <w:rPr>
          <w:rFonts w:asciiTheme="minorHAnsi" w:hAnsiTheme="minorHAnsi"/>
        </w:rPr>
        <w:t>.</w:t>
      </w:r>
      <w:r w:rsidR="007A07E0" w:rsidRPr="007A07E0">
        <w:rPr>
          <w:rFonts w:asciiTheme="minorHAnsi" w:hAnsiTheme="minorHAnsi"/>
        </w:rPr>
        <w:t xml:space="preserve"> </w:t>
      </w:r>
    </w:p>
    <w:p w14:paraId="77443D17" w14:textId="281D756B" w:rsidR="009058A6" w:rsidRDefault="007A07E0" w:rsidP="00EC12AB">
      <w:pPr>
        <w:jc w:val="both"/>
        <w:rPr>
          <w:rFonts w:asciiTheme="minorHAnsi" w:hAnsiTheme="minorHAnsi"/>
        </w:rPr>
      </w:pPr>
      <w:r w:rsidRPr="007A07E0">
        <w:rPr>
          <w:rFonts w:asciiTheme="minorHAnsi" w:hAnsiTheme="minorHAnsi"/>
        </w:rPr>
        <w:t>The supposition “at the heart of deontological (or non-consequentialist)” moral theory is that the “‘subject matter of morality is not what we should bring about, but how we should relate to one another.’”</w:t>
      </w:r>
      <w:r w:rsidRPr="007A07E0">
        <w:rPr>
          <w:rFonts w:asciiTheme="minorHAnsi" w:hAnsiTheme="minorHAnsi"/>
          <w:vertAlign w:val="superscript"/>
        </w:rPr>
        <w:footnoteReference w:id="47"/>
      </w:r>
      <w:r w:rsidRPr="007A07E0">
        <w:rPr>
          <w:rFonts w:asciiTheme="minorHAnsi" w:hAnsiTheme="minorHAnsi"/>
        </w:rPr>
        <w:t xml:space="preserve"> On </w:t>
      </w:r>
      <w:r w:rsidR="002E003B">
        <w:rPr>
          <w:rFonts w:asciiTheme="minorHAnsi" w:hAnsiTheme="minorHAnsi"/>
        </w:rPr>
        <w:t xml:space="preserve">a deontological </w:t>
      </w:r>
      <w:r w:rsidRPr="007A07E0">
        <w:rPr>
          <w:rFonts w:asciiTheme="minorHAnsi" w:hAnsiTheme="minorHAnsi"/>
        </w:rPr>
        <w:t>view</w:t>
      </w:r>
      <w:r w:rsidR="003252F1">
        <w:rPr>
          <w:rFonts w:asciiTheme="minorHAnsi" w:hAnsiTheme="minorHAnsi"/>
        </w:rPr>
        <w:t>,</w:t>
      </w:r>
      <w:r w:rsidRPr="007A07E0">
        <w:rPr>
          <w:rFonts w:asciiTheme="minorHAnsi" w:hAnsiTheme="minorHAnsi"/>
        </w:rPr>
        <w:t xml:space="preserve"> both the distinction between persons and the relations among persons are central. The fundamental moral questions posed by issues of risk and precaution are questions about what people owe to each other</w:t>
      </w:r>
      <w:r w:rsidR="002B4916">
        <w:rPr>
          <w:rFonts w:asciiTheme="minorHAnsi" w:hAnsiTheme="minorHAnsi"/>
        </w:rPr>
        <w:t>. This question is a coin with two sides. On</w:t>
      </w:r>
      <w:r w:rsidR="00B0710C">
        <w:rPr>
          <w:rFonts w:asciiTheme="minorHAnsi" w:hAnsiTheme="minorHAnsi"/>
        </w:rPr>
        <w:t>e</w:t>
      </w:r>
      <w:r w:rsidR="002B4916">
        <w:rPr>
          <w:rFonts w:asciiTheme="minorHAnsi" w:hAnsiTheme="minorHAnsi"/>
        </w:rPr>
        <w:t xml:space="preserve"> </w:t>
      </w:r>
      <w:r w:rsidR="00B0710C">
        <w:rPr>
          <w:rFonts w:asciiTheme="minorHAnsi" w:hAnsiTheme="minorHAnsi"/>
        </w:rPr>
        <w:t>side of the coin is</w:t>
      </w:r>
      <w:r w:rsidR="002B4916">
        <w:rPr>
          <w:rFonts w:asciiTheme="minorHAnsi" w:hAnsiTheme="minorHAnsi"/>
        </w:rPr>
        <w:t xml:space="preserve"> what people owe to one another in the </w:t>
      </w:r>
      <w:r w:rsidRPr="007A07E0">
        <w:rPr>
          <w:rFonts w:asciiTheme="minorHAnsi" w:hAnsiTheme="minorHAnsi"/>
        </w:rPr>
        <w:t xml:space="preserve">way of </w:t>
      </w:r>
      <w:r w:rsidRPr="00A469D5">
        <w:rPr>
          <w:rFonts w:asciiTheme="minorHAnsi" w:hAnsiTheme="minorHAnsi"/>
        </w:rPr>
        <w:t>freedom</w:t>
      </w:r>
      <w:r w:rsidRPr="007A07E0">
        <w:rPr>
          <w:rFonts w:asciiTheme="minorHAnsi" w:hAnsiTheme="minorHAnsi"/>
        </w:rPr>
        <w:t xml:space="preserve"> to impose risks of harm on </w:t>
      </w:r>
      <w:r w:rsidR="00B0710C">
        <w:rPr>
          <w:rFonts w:asciiTheme="minorHAnsi" w:hAnsiTheme="minorHAnsi"/>
        </w:rPr>
        <w:t xml:space="preserve">each </w:t>
      </w:r>
      <w:r w:rsidRPr="007A07E0">
        <w:rPr>
          <w:rFonts w:asciiTheme="minorHAnsi" w:hAnsiTheme="minorHAnsi"/>
        </w:rPr>
        <w:t xml:space="preserve">other </w:t>
      </w:r>
      <w:r w:rsidR="00B0710C">
        <w:rPr>
          <w:rFonts w:asciiTheme="minorHAnsi" w:hAnsiTheme="minorHAnsi"/>
        </w:rPr>
        <w:t>so that we may each have the freedom we need to pursue the ends we regard as worth pursuing. The flip side o</w:t>
      </w:r>
      <w:r w:rsidR="00BC6EF4">
        <w:rPr>
          <w:rFonts w:asciiTheme="minorHAnsi" w:hAnsiTheme="minorHAnsi"/>
        </w:rPr>
        <w:t>f</w:t>
      </w:r>
      <w:r w:rsidR="00B0710C">
        <w:rPr>
          <w:rFonts w:asciiTheme="minorHAnsi" w:hAnsiTheme="minorHAnsi"/>
        </w:rPr>
        <w:t xml:space="preserve"> the coin is what people owe to one another in the way of </w:t>
      </w:r>
      <w:r w:rsidR="00B0710C" w:rsidRPr="00A469D5">
        <w:rPr>
          <w:rFonts w:asciiTheme="minorHAnsi" w:hAnsiTheme="minorHAnsi"/>
        </w:rPr>
        <w:t>precaution</w:t>
      </w:r>
      <w:r w:rsidR="00B0710C">
        <w:rPr>
          <w:rFonts w:asciiTheme="minorHAnsi" w:hAnsiTheme="minorHAnsi"/>
        </w:rPr>
        <w:t xml:space="preserve"> to reduce risks of harm at each other’s hands. </w:t>
      </w:r>
      <w:r w:rsidR="004A665D">
        <w:rPr>
          <w:rFonts w:asciiTheme="minorHAnsi" w:hAnsiTheme="minorHAnsi"/>
        </w:rPr>
        <w:t>To lead valuable lives, w</w:t>
      </w:r>
      <w:r w:rsidR="00B0710C">
        <w:rPr>
          <w:rFonts w:asciiTheme="minorHAnsi" w:hAnsiTheme="minorHAnsi"/>
        </w:rPr>
        <w:t xml:space="preserve">e need both </w:t>
      </w:r>
      <w:r w:rsidR="004A665D">
        <w:rPr>
          <w:rFonts w:asciiTheme="minorHAnsi" w:hAnsiTheme="minorHAnsi"/>
        </w:rPr>
        <w:t xml:space="preserve">the </w:t>
      </w:r>
      <w:r w:rsidR="00B0710C">
        <w:rPr>
          <w:rFonts w:asciiTheme="minorHAnsi" w:hAnsiTheme="minorHAnsi"/>
        </w:rPr>
        <w:t xml:space="preserve">freedom to impose risks </w:t>
      </w:r>
      <w:r w:rsidR="004A665D">
        <w:rPr>
          <w:rFonts w:asciiTheme="minorHAnsi" w:hAnsiTheme="minorHAnsi"/>
        </w:rPr>
        <w:t xml:space="preserve">of harm </w:t>
      </w:r>
      <w:r w:rsidR="00B0710C">
        <w:rPr>
          <w:rFonts w:asciiTheme="minorHAnsi" w:hAnsiTheme="minorHAnsi"/>
        </w:rPr>
        <w:t>on other</w:t>
      </w:r>
      <w:r w:rsidR="004A665D">
        <w:rPr>
          <w:rFonts w:asciiTheme="minorHAnsi" w:hAnsiTheme="minorHAnsi"/>
        </w:rPr>
        <w:t>s</w:t>
      </w:r>
      <w:r w:rsidR="00B0710C">
        <w:rPr>
          <w:rFonts w:asciiTheme="minorHAnsi" w:hAnsiTheme="minorHAnsi"/>
        </w:rPr>
        <w:t xml:space="preserve"> and security from harm at </w:t>
      </w:r>
      <w:r w:rsidR="004A665D">
        <w:rPr>
          <w:rFonts w:asciiTheme="minorHAnsi" w:hAnsiTheme="minorHAnsi"/>
        </w:rPr>
        <w:t xml:space="preserve">each other’s hands. </w:t>
      </w:r>
      <w:r>
        <w:rPr>
          <w:rFonts w:asciiTheme="minorHAnsi" w:hAnsiTheme="minorHAnsi"/>
        </w:rPr>
        <w:t>Q</w:t>
      </w:r>
      <w:r w:rsidRPr="007A07E0">
        <w:rPr>
          <w:rFonts w:asciiTheme="minorHAnsi" w:hAnsiTheme="minorHAnsi"/>
        </w:rPr>
        <w:t>uestions about risk and precaution are questions about the terms o</w:t>
      </w:r>
      <w:r w:rsidR="004A665D">
        <w:rPr>
          <w:rFonts w:asciiTheme="minorHAnsi" w:hAnsiTheme="minorHAnsi"/>
        </w:rPr>
        <w:t xml:space="preserve">f just interaction among equal and independent persons. </w:t>
      </w:r>
      <w:r w:rsidR="002E003B">
        <w:rPr>
          <w:rFonts w:asciiTheme="minorHAnsi" w:hAnsiTheme="minorHAnsi"/>
        </w:rPr>
        <w:t>Cost-benefit analysis places end</w:t>
      </w:r>
      <w:r w:rsidR="004A665D">
        <w:rPr>
          <w:rFonts w:asciiTheme="minorHAnsi" w:hAnsiTheme="minorHAnsi"/>
        </w:rPr>
        <w:t>-</w:t>
      </w:r>
      <w:r w:rsidR="002E003B">
        <w:rPr>
          <w:rFonts w:asciiTheme="minorHAnsi" w:hAnsiTheme="minorHAnsi"/>
        </w:rPr>
        <w:t>states of the world in which costs are minimized, wealth is maximized, and the good of welfare is most effectively pursued</w:t>
      </w:r>
      <w:r w:rsidR="00B0710C">
        <w:rPr>
          <w:rFonts w:asciiTheme="minorHAnsi" w:hAnsiTheme="minorHAnsi"/>
        </w:rPr>
        <w:t>,</w:t>
      </w:r>
      <w:r w:rsidR="002E003B">
        <w:rPr>
          <w:rFonts w:asciiTheme="minorHAnsi" w:hAnsiTheme="minorHAnsi"/>
        </w:rPr>
        <w:t xml:space="preserve"> at the center of its consciousness. Deontology puts t</w:t>
      </w:r>
      <w:r w:rsidRPr="007A07E0">
        <w:rPr>
          <w:rFonts w:asciiTheme="minorHAnsi" w:hAnsiTheme="minorHAnsi"/>
        </w:rPr>
        <w:t>he claims of persons</w:t>
      </w:r>
      <w:r w:rsidR="009058A6">
        <w:rPr>
          <w:rFonts w:asciiTheme="minorHAnsi" w:hAnsiTheme="minorHAnsi"/>
        </w:rPr>
        <w:t>—</w:t>
      </w:r>
      <w:r w:rsidRPr="007A07E0">
        <w:rPr>
          <w:rFonts w:asciiTheme="minorHAnsi" w:hAnsiTheme="minorHAnsi"/>
        </w:rPr>
        <w:t>abstractly conceived as representative members of classes of potential injurers and victims</w:t>
      </w:r>
      <w:r w:rsidR="009058A6">
        <w:rPr>
          <w:rFonts w:asciiTheme="minorHAnsi" w:hAnsiTheme="minorHAnsi"/>
        </w:rPr>
        <w:t>—</w:t>
      </w:r>
      <w:r w:rsidR="002E003B">
        <w:rPr>
          <w:rFonts w:asciiTheme="minorHAnsi" w:hAnsiTheme="minorHAnsi"/>
        </w:rPr>
        <w:t>at the center of its thinking</w:t>
      </w:r>
      <w:r w:rsidRPr="007A07E0">
        <w:rPr>
          <w:rFonts w:asciiTheme="minorHAnsi" w:hAnsiTheme="minorHAnsi"/>
        </w:rPr>
        <w:t xml:space="preserve">. </w:t>
      </w:r>
    </w:p>
    <w:p w14:paraId="60C334C7" w14:textId="48EBF0C4" w:rsidR="002839F5" w:rsidRDefault="007A07E0" w:rsidP="00EC12AB">
      <w:pPr>
        <w:jc w:val="both"/>
        <w:rPr>
          <w:rFonts w:asciiTheme="minorHAnsi" w:hAnsiTheme="minorHAnsi"/>
        </w:rPr>
      </w:pPr>
      <w:r>
        <w:rPr>
          <w:rFonts w:asciiTheme="minorHAnsi" w:hAnsiTheme="minorHAnsi"/>
        </w:rPr>
        <w:t>Putting persons and their essential interests as agents in</w:t>
      </w:r>
      <w:r w:rsidRPr="007A07E0">
        <w:rPr>
          <w:rFonts w:asciiTheme="minorHAnsi" w:hAnsiTheme="minorHAnsi"/>
        </w:rPr>
        <w:t xml:space="preserve"> the moral foreground </w:t>
      </w:r>
      <w:r w:rsidR="00A6539A">
        <w:rPr>
          <w:rFonts w:asciiTheme="minorHAnsi" w:hAnsiTheme="minorHAnsi"/>
        </w:rPr>
        <w:t>casts the harm-benefit asymmetry in a</w:t>
      </w:r>
      <w:r w:rsidRPr="007A07E0">
        <w:rPr>
          <w:rFonts w:asciiTheme="minorHAnsi" w:hAnsiTheme="minorHAnsi"/>
        </w:rPr>
        <w:t xml:space="preserve"> favorable light</w:t>
      </w:r>
      <w:r w:rsidR="00A6539A">
        <w:rPr>
          <w:rFonts w:asciiTheme="minorHAnsi" w:hAnsiTheme="minorHAnsi"/>
        </w:rPr>
        <w:t xml:space="preserve">. </w:t>
      </w:r>
      <w:r w:rsidR="001610B2">
        <w:rPr>
          <w:rFonts w:asciiTheme="minorHAnsi" w:hAnsiTheme="minorHAnsi"/>
        </w:rPr>
        <w:t xml:space="preserve"> </w:t>
      </w:r>
      <w:r w:rsidR="001610B2" w:rsidRPr="001610B2">
        <w:rPr>
          <w:rFonts w:asciiTheme="minorHAnsi" w:hAnsiTheme="minorHAnsi"/>
        </w:rPr>
        <w:t xml:space="preserve">When we focus on the essential conditions of effective agency, harms and benefits are not symmetrically important. Physical harms—death, disability, disease, and the like—rob us of normal and foundational powers of action. </w:t>
      </w:r>
      <w:r w:rsidR="00482C5E">
        <w:rPr>
          <w:rFonts w:asciiTheme="minorHAnsi" w:hAnsiTheme="minorHAnsi"/>
        </w:rPr>
        <w:t xml:space="preserve">They are bad for us no matter what our ends. </w:t>
      </w:r>
      <w:r w:rsidR="001610B2" w:rsidRPr="001610B2">
        <w:rPr>
          <w:rFonts w:asciiTheme="minorHAnsi" w:hAnsiTheme="minorHAnsi"/>
        </w:rPr>
        <w:t xml:space="preserve">Few benefits, by contrast, comparably augment our basic powers of agency. </w:t>
      </w:r>
      <w:r w:rsidR="00482C5E">
        <w:rPr>
          <w:rFonts w:asciiTheme="minorHAnsi" w:hAnsiTheme="minorHAnsi"/>
        </w:rPr>
        <w:t xml:space="preserve">The value of a benefit turns </w:t>
      </w:r>
      <w:r w:rsidR="001610B2">
        <w:rPr>
          <w:rFonts w:asciiTheme="minorHAnsi" w:hAnsiTheme="minorHAnsi"/>
        </w:rPr>
        <w:t>on whether it</w:t>
      </w:r>
      <w:r w:rsidR="008B4520">
        <w:rPr>
          <w:rFonts w:asciiTheme="minorHAnsi" w:hAnsiTheme="minorHAnsi"/>
        </w:rPr>
        <w:t xml:space="preserve"> does or does not further the ends of the person in question. </w:t>
      </w:r>
      <w:r w:rsidR="004A665D">
        <w:rPr>
          <w:rFonts w:asciiTheme="minorHAnsi" w:hAnsiTheme="minorHAnsi"/>
        </w:rPr>
        <w:t xml:space="preserve">Whereas physical harm is usually bad for people because it impairs basic powers of agency </w:t>
      </w:r>
      <w:r w:rsidR="00BF4A8E">
        <w:rPr>
          <w:rFonts w:asciiTheme="minorHAnsi" w:hAnsiTheme="minorHAnsi"/>
        </w:rPr>
        <w:t>that</w:t>
      </w:r>
      <w:r w:rsidR="004A665D">
        <w:rPr>
          <w:rFonts w:asciiTheme="minorHAnsi" w:hAnsiTheme="minorHAnsi"/>
        </w:rPr>
        <w:t xml:space="preserve"> enable us to pursue a wide variety of ends, the value </w:t>
      </w:r>
      <w:r w:rsidR="00BF4A8E">
        <w:rPr>
          <w:rFonts w:asciiTheme="minorHAnsi" w:hAnsiTheme="minorHAnsi"/>
        </w:rPr>
        <w:t xml:space="preserve">of </w:t>
      </w:r>
      <w:r w:rsidR="004A665D">
        <w:rPr>
          <w:rFonts w:asciiTheme="minorHAnsi" w:hAnsiTheme="minorHAnsi"/>
        </w:rPr>
        <w:t xml:space="preserve">any given benefit is usually contingent on the aims and aspirations of the person on whom the benefit is conferred. </w:t>
      </w:r>
      <w:r w:rsidR="008B4520">
        <w:rPr>
          <w:rFonts w:asciiTheme="minorHAnsi" w:hAnsiTheme="minorHAnsi"/>
        </w:rPr>
        <w:t>Extraordinary hand-eye</w:t>
      </w:r>
      <w:r w:rsidR="00A6539A">
        <w:rPr>
          <w:rFonts w:asciiTheme="minorHAnsi" w:hAnsiTheme="minorHAnsi"/>
        </w:rPr>
        <w:t xml:space="preserve"> coordination is indispensable for an elite </w:t>
      </w:r>
      <w:r w:rsidR="008B4520">
        <w:rPr>
          <w:rFonts w:asciiTheme="minorHAnsi" w:hAnsiTheme="minorHAnsi"/>
        </w:rPr>
        <w:t xml:space="preserve">tennis player but largely wasted on a law professor. </w:t>
      </w:r>
      <w:r w:rsidR="00573ABB">
        <w:rPr>
          <w:rFonts w:asciiTheme="minorHAnsi" w:hAnsiTheme="minorHAnsi"/>
        </w:rPr>
        <w:t xml:space="preserve"> </w:t>
      </w:r>
      <w:r w:rsidR="004A665D">
        <w:rPr>
          <w:rFonts w:asciiTheme="minorHAnsi" w:hAnsiTheme="minorHAnsi"/>
        </w:rPr>
        <w:t xml:space="preserve">A talent for abstract mathematical thinking is immensely valuable to a physicist but of little value to a woodworker. </w:t>
      </w:r>
      <w:r w:rsidR="002839F5">
        <w:rPr>
          <w:rFonts w:asciiTheme="minorHAnsi" w:hAnsiTheme="minorHAnsi"/>
        </w:rPr>
        <w:lastRenderedPageBreak/>
        <w:t>U</w:t>
      </w:r>
      <w:r w:rsidR="001610B2" w:rsidRPr="001610B2">
        <w:rPr>
          <w:rFonts w:asciiTheme="minorHAnsi" w:hAnsiTheme="minorHAnsi"/>
        </w:rPr>
        <w:t>nso</w:t>
      </w:r>
      <w:r w:rsidR="00A6539A">
        <w:rPr>
          <w:rFonts w:asciiTheme="minorHAnsi" w:hAnsiTheme="minorHAnsi"/>
        </w:rPr>
        <w:t>ught benefits</w:t>
      </w:r>
      <w:r w:rsidR="002839F5">
        <w:rPr>
          <w:rFonts w:asciiTheme="minorHAnsi" w:hAnsiTheme="minorHAnsi"/>
        </w:rPr>
        <w:t>, moreover,</w:t>
      </w:r>
      <w:r w:rsidR="00A6539A">
        <w:rPr>
          <w:rFonts w:asciiTheme="minorHAnsi" w:hAnsiTheme="minorHAnsi"/>
        </w:rPr>
        <w:t xml:space="preserve"> usually </w:t>
      </w:r>
      <w:r w:rsidR="001610B2" w:rsidRPr="001610B2">
        <w:rPr>
          <w:rFonts w:asciiTheme="minorHAnsi" w:hAnsiTheme="minorHAnsi"/>
        </w:rPr>
        <w:t>diminish our autonomy by imposing upon us.</w:t>
      </w:r>
      <w:r w:rsidR="001610B2">
        <w:rPr>
          <w:rFonts w:asciiTheme="minorHAnsi" w:hAnsiTheme="minorHAnsi"/>
        </w:rPr>
        <w:t xml:space="preserve"> Benefits thrust upon us in the name of our own welfare can be positively disempowering. </w:t>
      </w:r>
    </w:p>
    <w:p w14:paraId="1AB50AA8" w14:textId="2C8DB56A" w:rsidR="00BC1F82" w:rsidRDefault="00573ABB" w:rsidP="00EC12AB">
      <w:pPr>
        <w:jc w:val="both"/>
        <w:rPr>
          <w:rFonts w:asciiTheme="minorHAnsi" w:hAnsiTheme="minorHAnsi"/>
        </w:rPr>
      </w:pPr>
      <w:r>
        <w:rPr>
          <w:rFonts w:asciiTheme="minorHAnsi" w:hAnsiTheme="minorHAnsi"/>
        </w:rPr>
        <w:t>Because seri</w:t>
      </w:r>
      <w:r w:rsidR="00CC3180">
        <w:rPr>
          <w:rFonts w:asciiTheme="minorHAnsi" w:hAnsiTheme="minorHAnsi"/>
        </w:rPr>
        <w:t xml:space="preserve">ous physical harm severely </w:t>
      </w:r>
      <w:r>
        <w:rPr>
          <w:rFonts w:asciiTheme="minorHAnsi" w:hAnsiTheme="minorHAnsi"/>
        </w:rPr>
        <w:t>impairs basic powers of human agency</w:t>
      </w:r>
      <w:r w:rsidR="009058A6">
        <w:rPr>
          <w:rFonts w:asciiTheme="minorHAnsi" w:hAnsiTheme="minorHAnsi"/>
        </w:rPr>
        <w:t>—</w:t>
      </w:r>
      <w:r w:rsidR="002521F0">
        <w:rPr>
          <w:rFonts w:asciiTheme="minorHAnsi" w:hAnsiTheme="minorHAnsi"/>
        </w:rPr>
        <w:t>whereas most benefits do not comparably enhance our powers of agency</w:t>
      </w:r>
      <w:r w:rsidR="009058A6">
        <w:rPr>
          <w:rFonts w:asciiTheme="minorHAnsi" w:hAnsiTheme="minorHAnsi"/>
        </w:rPr>
        <w:t>—</w:t>
      </w:r>
      <w:r>
        <w:rPr>
          <w:rFonts w:asciiTheme="minorHAnsi" w:hAnsiTheme="minorHAnsi"/>
        </w:rPr>
        <w:t xml:space="preserve">we have reason to assign special priority to the avoidance of harm. </w:t>
      </w:r>
      <w:r w:rsidR="00E83E08">
        <w:rPr>
          <w:rFonts w:asciiTheme="minorHAnsi" w:hAnsiTheme="minorHAnsi"/>
        </w:rPr>
        <w:t xml:space="preserve">Because deontology takes persons </w:t>
      </w:r>
      <w:r>
        <w:rPr>
          <w:rFonts w:asciiTheme="minorHAnsi" w:hAnsiTheme="minorHAnsi"/>
        </w:rPr>
        <w:t xml:space="preserve">and their claims against one another </w:t>
      </w:r>
      <w:r w:rsidR="004A665D">
        <w:rPr>
          <w:rFonts w:asciiTheme="minorHAnsi" w:hAnsiTheme="minorHAnsi"/>
        </w:rPr>
        <w:t>to be the</w:t>
      </w:r>
      <w:r>
        <w:rPr>
          <w:rFonts w:asciiTheme="minorHAnsi" w:hAnsiTheme="minorHAnsi"/>
        </w:rPr>
        <w:t xml:space="preserve"> fundamental</w:t>
      </w:r>
      <w:r w:rsidR="004A665D">
        <w:rPr>
          <w:rFonts w:asciiTheme="minorHAnsi" w:hAnsiTheme="minorHAnsi"/>
        </w:rPr>
        <w:t xml:space="preserve"> concern of morality—</w:t>
      </w:r>
      <w:r w:rsidR="008A72E7">
        <w:rPr>
          <w:rFonts w:asciiTheme="minorHAnsi" w:hAnsiTheme="minorHAnsi"/>
        </w:rPr>
        <w:t>and because liberal deontology makes the conditions of effective agency a concern of the state</w:t>
      </w:r>
      <w:r w:rsidR="004A665D">
        <w:rPr>
          <w:rFonts w:asciiTheme="minorHAnsi" w:hAnsiTheme="minorHAnsi"/>
        </w:rPr>
        <w:t>—</w:t>
      </w:r>
      <w:r w:rsidR="008A72E7">
        <w:rPr>
          <w:rFonts w:asciiTheme="minorHAnsi" w:hAnsiTheme="minorHAnsi"/>
        </w:rPr>
        <w:t xml:space="preserve">the framework </w:t>
      </w:r>
      <w:r>
        <w:rPr>
          <w:rFonts w:asciiTheme="minorHAnsi" w:hAnsiTheme="minorHAnsi"/>
        </w:rPr>
        <w:t>brings the special badness of harm into focus</w:t>
      </w:r>
      <w:r w:rsidR="008A72E7">
        <w:rPr>
          <w:rFonts w:asciiTheme="minorHAnsi" w:hAnsiTheme="minorHAnsi"/>
        </w:rPr>
        <w:t>.</w:t>
      </w:r>
      <w:r w:rsidR="008A72E7" w:rsidRPr="008A72E7">
        <w:rPr>
          <w:rFonts w:asciiTheme="minorHAnsi" w:hAnsiTheme="minorHAnsi"/>
        </w:rPr>
        <w:t xml:space="preserve"> Physical harm is something that </w:t>
      </w:r>
      <w:r w:rsidR="003069A5">
        <w:rPr>
          <w:rFonts w:asciiTheme="minorHAnsi" w:hAnsiTheme="minorHAnsi"/>
        </w:rPr>
        <w:t xml:space="preserve">happens </w:t>
      </w:r>
      <w:r w:rsidR="003069A5" w:rsidRPr="004A665D">
        <w:rPr>
          <w:rFonts w:asciiTheme="minorHAnsi" w:hAnsiTheme="minorHAnsi"/>
          <w:i/>
          <w:iCs/>
        </w:rPr>
        <w:t>to people</w:t>
      </w:r>
      <w:r w:rsidR="00A6539A">
        <w:rPr>
          <w:rFonts w:asciiTheme="minorHAnsi" w:hAnsiTheme="minorHAnsi"/>
        </w:rPr>
        <w:t xml:space="preserve">. </w:t>
      </w:r>
      <w:r w:rsidR="006D44E1">
        <w:rPr>
          <w:rFonts w:asciiTheme="minorHAnsi" w:hAnsiTheme="minorHAnsi"/>
        </w:rPr>
        <w:t xml:space="preserve">Because we are physically embodied </w:t>
      </w:r>
      <w:r w:rsidR="004A665D">
        <w:rPr>
          <w:rFonts w:asciiTheme="minorHAnsi" w:hAnsiTheme="minorHAnsi"/>
        </w:rPr>
        <w:t xml:space="preserve">agents, </w:t>
      </w:r>
      <w:r w:rsidR="006D44E1">
        <w:rPr>
          <w:rFonts w:asciiTheme="minorHAnsi" w:hAnsiTheme="minorHAnsi"/>
        </w:rPr>
        <w:t xml:space="preserve">bodily </w:t>
      </w:r>
      <w:r w:rsidR="003069A5">
        <w:rPr>
          <w:rFonts w:asciiTheme="minorHAnsi" w:hAnsiTheme="minorHAnsi"/>
        </w:rPr>
        <w:t xml:space="preserve">harm is </w:t>
      </w:r>
      <w:r w:rsidR="00A6539A">
        <w:rPr>
          <w:rFonts w:asciiTheme="minorHAnsi" w:hAnsiTheme="minorHAnsi"/>
        </w:rPr>
        <w:t>presumptively</w:t>
      </w:r>
      <w:r w:rsidR="00831F24">
        <w:rPr>
          <w:rFonts w:asciiTheme="minorHAnsi" w:hAnsiTheme="minorHAnsi"/>
        </w:rPr>
        <w:t>—</w:t>
      </w:r>
      <w:r w:rsidR="00A6539A">
        <w:rPr>
          <w:rFonts w:asciiTheme="minorHAnsi" w:hAnsiTheme="minorHAnsi"/>
        </w:rPr>
        <w:t>and especially</w:t>
      </w:r>
      <w:r w:rsidR="00831F24">
        <w:rPr>
          <w:rFonts w:asciiTheme="minorHAnsi" w:hAnsiTheme="minorHAnsi"/>
        </w:rPr>
        <w:t>—</w:t>
      </w:r>
      <w:r w:rsidR="008A72E7">
        <w:rPr>
          <w:rFonts w:asciiTheme="minorHAnsi" w:hAnsiTheme="minorHAnsi"/>
        </w:rPr>
        <w:t xml:space="preserve">bad for </w:t>
      </w:r>
      <w:r w:rsidR="006D44E1">
        <w:rPr>
          <w:rFonts w:asciiTheme="minorHAnsi" w:hAnsiTheme="minorHAnsi"/>
        </w:rPr>
        <w:t xml:space="preserve">us. It </w:t>
      </w:r>
      <w:r w:rsidR="008A72E7">
        <w:rPr>
          <w:rFonts w:asciiTheme="minorHAnsi" w:hAnsiTheme="minorHAnsi"/>
        </w:rPr>
        <w:t xml:space="preserve">cripples capacities and powers on which the pursuit of </w:t>
      </w:r>
      <w:r w:rsidR="00515BC4">
        <w:rPr>
          <w:rFonts w:asciiTheme="minorHAnsi" w:hAnsiTheme="minorHAnsi"/>
        </w:rPr>
        <w:t>all</w:t>
      </w:r>
      <w:r w:rsidR="00A6539A">
        <w:rPr>
          <w:rFonts w:asciiTheme="minorHAnsi" w:hAnsiTheme="minorHAnsi"/>
        </w:rPr>
        <w:t xml:space="preserve"> </w:t>
      </w:r>
      <w:r w:rsidR="006D44E1">
        <w:rPr>
          <w:rFonts w:asciiTheme="minorHAnsi" w:hAnsiTheme="minorHAnsi"/>
        </w:rPr>
        <w:t>our</w:t>
      </w:r>
      <w:r w:rsidR="00A6539A">
        <w:rPr>
          <w:rFonts w:asciiTheme="minorHAnsi" w:hAnsiTheme="minorHAnsi"/>
        </w:rPr>
        <w:t xml:space="preserve"> </w:t>
      </w:r>
      <w:r w:rsidR="008A72E7">
        <w:rPr>
          <w:rFonts w:asciiTheme="minorHAnsi" w:hAnsiTheme="minorHAnsi"/>
        </w:rPr>
        <w:t xml:space="preserve">ends depend. </w:t>
      </w:r>
      <w:r w:rsidR="009C60C1">
        <w:rPr>
          <w:rFonts w:asciiTheme="minorHAnsi" w:hAnsiTheme="minorHAnsi"/>
        </w:rPr>
        <w:t>The welfarist underpinnings of cost-benefit analysis</w:t>
      </w:r>
      <w:r w:rsidR="001610B2">
        <w:rPr>
          <w:rFonts w:asciiTheme="minorHAnsi" w:hAnsiTheme="minorHAnsi"/>
        </w:rPr>
        <w:t>, by contrast, obscure</w:t>
      </w:r>
      <w:r>
        <w:rPr>
          <w:rFonts w:asciiTheme="minorHAnsi" w:hAnsiTheme="minorHAnsi"/>
        </w:rPr>
        <w:t xml:space="preserve"> harm</w:t>
      </w:r>
      <w:r w:rsidR="00CC3180">
        <w:rPr>
          <w:rFonts w:asciiTheme="minorHAnsi" w:hAnsiTheme="minorHAnsi"/>
        </w:rPr>
        <w:t>’</w:t>
      </w:r>
      <w:r w:rsidR="009C60C1">
        <w:rPr>
          <w:rFonts w:asciiTheme="minorHAnsi" w:hAnsiTheme="minorHAnsi"/>
        </w:rPr>
        <w:t>s special significance</w:t>
      </w:r>
      <w:r w:rsidR="008A72E7">
        <w:rPr>
          <w:rFonts w:asciiTheme="minorHAnsi" w:hAnsiTheme="minorHAnsi"/>
        </w:rPr>
        <w:t xml:space="preserve"> because they treat harm as just another cost in an overall calculus</w:t>
      </w:r>
      <w:r w:rsidR="00844392">
        <w:rPr>
          <w:rFonts w:asciiTheme="minorHAnsi" w:hAnsiTheme="minorHAnsi"/>
        </w:rPr>
        <w:t xml:space="preserve"> of social goods and bads</w:t>
      </w:r>
      <w:r w:rsidR="009C60C1">
        <w:rPr>
          <w:rFonts w:asciiTheme="minorHAnsi" w:hAnsiTheme="minorHAnsi"/>
        </w:rPr>
        <w:t xml:space="preserve">. </w:t>
      </w:r>
      <w:r w:rsidR="007D72E3">
        <w:rPr>
          <w:rFonts w:asciiTheme="minorHAnsi" w:hAnsiTheme="minorHAnsi"/>
        </w:rPr>
        <w:t xml:space="preserve">Our law is torn between </w:t>
      </w:r>
      <w:r w:rsidR="00396115">
        <w:rPr>
          <w:rFonts w:asciiTheme="minorHAnsi" w:hAnsiTheme="minorHAnsi"/>
        </w:rPr>
        <w:t xml:space="preserve">standards of </w:t>
      </w:r>
      <w:r w:rsidR="007D72E3">
        <w:rPr>
          <w:rFonts w:asciiTheme="minorHAnsi" w:hAnsiTheme="minorHAnsi"/>
        </w:rPr>
        <w:t>cos</w:t>
      </w:r>
      <w:r w:rsidR="00396115">
        <w:rPr>
          <w:rFonts w:asciiTheme="minorHAnsi" w:hAnsiTheme="minorHAnsi"/>
        </w:rPr>
        <w:t xml:space="preserve">t-justified precaution and norms of safe and feasible </w:t>
      </w:r>
      <w:r w:rsidR="007D72E3">
        <w:rPr>
          <w:rFonts w:asciiTheme="minorHAnsi" w:hAnsiTheme="minorHAnsi"/>
        </w:rPr>
        <w:t>precaution</w:t>
      </w:r>
      <w:r w:rsidR="00325ED3">
        <w:rPr>
          <w:rFonts w:asciiTheme="minorHAnsi" w:hAnsiTheme="minorHAnsi"/>
        </w:rPr>
        <w:t xml:space="preserve"> becau</w:t>
      </w:r>
      <w:r w:rsidR="008A72E7">
        <w:rPr>
          <w:rFonts w:asciiTheme="minorHAnsi" w:hAnsiTheme="minorHAnsi"/>
        </w:rPr>
        <w:t>se our law is torn between</w:t>
      </w:r>
      <w:r w:rsidR="00325ED3">
        <w:rPr>
          <w:rFonts w:asciiTheme="minorHAnsi" w:hAnsiTheme="minorHAnsi"/>
        </w:rPr>
        <w:t xml:space="preserve"> two moral outlooks</w:t>
      </w:r>
      <w:r w:rsidR="007D72E3">
        <w:rPr>
          <w:rFonts w:asciiTheme="minorHAnsi" w:hAnsiTheme="minorHAnsi"/>
        </w:rPr>
        <w:t xml:space="preserve">. </w:t>
      </w:r>
      <w:r w:rsidR="00396115">
        <w:rPr>
          <w:rFonts w:asciiTheme="minorHAnsi" w:hAnsiTheme="minorHAnsi"/>
        </w:rPr>
        <w:t xml:space="preserve"> </w:t>
      </w:r>
      <w:r w:rsidR="006D44E1">
        <w:rPr>
          <w:rFonts w:asciiTheme="minorHAnsi" w:hAnsiTheme="minorHAnsi"/>
        </w:rPr>
        <w:t xml:space="preserve">So, too, is our moral consciousness. That deep division cannot be made to go away by </w:t>
      </w:r>
      <w:r w:rsidR="003365CD">
        <w:rPr>
          <w:rFonts w:asciiTheme="minorHAnsi" w:hAnsiTheme="minorHAnsi"/>
        </w:rPr>
        <w:t xml:space="preserve">asserting </w:t>
      </w:r>
      <w:r w:rsidR="00844392">
        <w:rPr>
          <w:rFonts w:asciiTheme="minorHAnsi" w:hAnsiTheme="minorHAnsi"/>
        </w:rPr>
        <w:t xml:space="preserve">falsely </w:t>
      </w:r>
      <w:r w:rsidR="003365CD">
        <w:rPr>
          <w:rFonts w:asciiTheme="minorHAnsi" w:hAnsiTheme="minorHAnsi"/>
        </w:rPr>
        <w:t>t</w:t>
      </w:r>
      <w:r w:rsidR="006D44E1">
        <w:rPr>
          <w:rFonts w:asciiTheme="minorHAnsi" w:hAnsiTheme="minorHAnsi"/>
        </w:rPr>
        <w:t xml:space="preserve">hat a broadly utilitarian outlook is the only one available. </w:t>
      </w:r>
    </w:p>
    <w:p w14:paraId="4F1602D0" w14:textId="4580A823" w:rsidR="001E55E6" w:rsidRDefault="00794C2A" w:rsidP="00EC12AB">
      <w:pPr>
        <w:jc w:val="both"/>
        <w:rPr>
          <w:rFonts w:asciiTheme="minorHAnsi" w:hAnsiTheme="minorHAnsi"/>
        </w:rPr>
      </w:pPr>
      <w:r>
        <w:rPr>
          <w:rFonts w:asciiTheme="minorHAnsi" w:hAnsiTheme="minorHAnsi"/>
        </w:rPr>
        <w:t>Th</w:t>
      </w:r>
      <w:r w:rsidR="006830D8">
        <w:rPr>
          <w:rFonts w:asciiTheme="minorHAnsi" w:hAnsiTheme="minorHAnsi"/>
        </w:rPr>
        <w:t xml:space="preserve">e next section of this paper </w:t>
      </w:r>
      <w:r w:rsidR="00CB55E9">
        <w:rPr>
          <w:rFonts w:asciiTheme="minorHAnsi" w:hAnsiTheme="minorHAnsi"/>
        </w:rPr>
        <w:t>summarizes</w:t>
      </w:r>
      <w:r w:rsidR="007E7E7B">
        <w:rPr>
          <w:rFonts w:asciiTheme="minorHAnsi" w:hAnsiTheme="minorHAnsi"/>
        </w:rPr>
        <w:t xml:space="preserve"> </w:t>
      </w:r>
      <w:r w:rsidR="006830D8">
        <w:rPr>
          <w:rFonts w:asciiTheme="minorHAnsi" w:hAnsiTheme="minorHAnsi"/>
        </w:rPr>
        <w:t>the “safety</w:t>
      </w:r>
      <w:r w:rsidR="00A13DBF">
        <w:rPr>
          <w:rFonts w:asciiTheme="minorHAnsi" w:hAnsiTheme="minorHAnsi"/>
        </w:rPr>
        <w:t>,</w:t>
      </w:r>
      <w:r w:rsidR="006830D8">
        <w:rPr>
          <w:rFonts w:asciiTheme="minorHAnsi" w:hAnsiTheme="minorHAnsi"/>
        </w:rPr>
        <w:t>”</w:t>
      </w:r>
      <w:r w:rsidR="0033568D">
        <w:rPr>
          <w:rFonts w:asciiTheme="minorHAnsi" w:hAnsiTheme="minorHAnsi"/>
        </w:rPr>
        <w:t xml:space="preserve"> </w:t>
      </w:r>
      <w:r w:rsidR="006830D8">
        <w:rPr>
          <w:rFonts w:asciiTheme="minorHAnsi" w:hAnsiTheme="minorHAnsi"/>
        </w:rPr>
        <w:t>“feasibility</w:t>
      </w:r>
      <w:r w:rsidR="00A13DBF">
        <w:rPr>
          <w:rFonts w:asciiTheme="minorHAnsi" w:hAnsiTheme="minorHAnsi"/>
        </w:rPr>
        <w:t>,</w:t>
      </w:r>
      <w:r w:rsidR="006830D8">
        <w:rPr>
          <w:rFonts w:asciiTheme="minorHAnsi" w:hAnsiTheme="minorHAnsi"/>
        </w:rPr>
        <w:t>”</w:t>
      </w:r>
      <w:r w:rsidR="0033568D">
        <w:rPr>
          <w:rFonts w:asciiTheme="minorHAnsi" w:hAnsiTheme="minorHAnsi"/>
        </w:rPr>
        <w:t xml:space="preserve"> and cost-justification</w:t>
      </w:r>
      <w:r w:rsidR="006830D8">
        <w:rPr>
          <w:rFonts w:asciiTheme="minorHAnsi" w:hAnsiTheme="minorHAnsi"/>
        </w:rPr>
        <w:t xml:space="preserve"> standards of precaution and </w:t>
      </w:r>
      <w:r w:rsidR="0033568D">
        <w:rPr>
          <w:rFonts w:asciiTheme="minorHAnsi" w:hAnsiTheme="minorHAnsi"/>
        </w:rPr>
        <w:t xml:space="preserve">shows that they are all extant in our law. </w:t>
      </w:r>
      <w:r w:rsidR="00C743E3">
        <w:rPr>
          <w:rFonts w:asciiTheme="minorHAnsi" w:hAnsiTheme="minorHAnsi"/>
        </w:rPr>
        <w:t>A very brief concluding section explains why direct risk regulation prescribing safe or feasible precaution shoulders a responsibility that tort law assumes but cannot discharge.</w:t>
      </w:r>
      <w:bookmarkStart w:id="11" w:name="_Hlk50234860"/>
    </w:p>
    <w:p w14:paraId="6BE65DE1" w14:textId="6A4E2A1A" w:rsidR="007E7E7B" w:rsidRPr="00CA036C" w:rsidRDefault="003127E1" w:rsidP="00CA036C">
      <w:pPr>
        <w:ind w:left="1260" w:hanging="720"/>
        <w:jc w:val="both"/>
        <w:rPr>
          <w:rFonts w:asciiTheme="minorHAnsi" w:hAnsiTheme="minorHAnsi"/>
          <w:sz w:val="26"/>
          <w:szCs w:val="26"/>
        </w:rPr>
      </w:pPr>
      <w:r w:rsidRPr="00761C07">
        <w:rPr>
          <w:rFonts w:asciiTheme="minorHAnsi" w:hAnsiTheme="minorHAnsi"/>
          <w:b/>
          <w:bCs/>
          <w:sz w:val="26"/>
          <w:szCs w:val="26"/>
        </w:rPr>
        <w:t>II.</w:t>
      </w:r>
      <w:r w:rsidRPr="00761C07">
        <w:rPr>
          <w:rFonts w:asciiTheme="minorHAnsi" w:hAnsiTheme="minorHAnsi"/>
          <w:b/>
          <w:bCs/>
          <w:sz w:val="26"/>
          <w:szCs w:val="26"/>
        </w:rPr>
        <w:tab/>
      </w:r>
      <w:r w:rsidR="00CB55E9" w:rsidRPr="00761C07">
        <w:rPr>
          <w:rFonts w:asciiTheme="minorHAnsi" w:hAnsiTheme="minorHAnsi"/>
          <w:b/>
          <w:bCs/>
          <w:sz w:val="26"/>
          <w:szCs w:val="26"/>
        </w:rPr>
        <w:t>Three Standards of</w:t>
      </w:r>
      <w:r w:rsidR="0090690E" w:rsidRPr="00761C07">
        <w:rPr>
          <w:rFonts w:asciiTheme="minorHAnsi" w:hAnsiTheme="minorHAnsi"/>
          <w:b/>
          <w:bCs/>
          <w:sz w:val="26"/>
          <w:szCs w:val="26"/>
        </w:rPr>
        <w:t xml:space="preserve"> </w:t>
      </w:r>
      <w:r w:rsidR="00761C07">
        <w:rPr>
          <w:rFonts w:asciiTheme="minorHAnsi" w:hAnsiTheme="minorHAnsi"/>
          <w:b/>
          <w:bCs/>
          <w:sz w:val="26"/>
          <w:szCs w:val="26"/>
        </w:rPr>
        <w:t>P</w:t>
      </w:r>
      <w:r w:rsidR="009C2FF1" w:rsidRPr="00CA036C">
        <w:rPr>
          <w:rFonts w:asciiTheme="minorHAnsi" w:hAnsiTheme="minorHAnsi"/>
          <w:b/>
          <w:bCs/>
          <w:sz w:val="26"/>
          <w:szCs w:val="26"/>
        </w:rPr>
        <w:t>recaution</w:t>
      </w:r>
    </w:p>
    <w:bookmarkEnd w:id="11"/>
    <w:p w14:paraId="707B1189" w14:textId="0C4AA343" w:rsidR="00DC73DF" w:rsidRPr="00DC73DF" w:rsidRDefault="00891C3B" w:rsidP="00DC73DF">
      <w:pPr>
        <w:jc w:val="both"/>
        <w:rPr>
          <w:rFonts w:asciiTheme="minorHAnsi" w:hAnsiTheme="minorHAnsi"/>
          <w:iCs/>
        </w:rPr>
      </w:pPr>
      <w:r>
        <w:rPr>
          <w:rFonts w:asciiTheme="minorHAnsi" w:hAnsiTheme="minorHAnsi"/>
          <w:iCs/>
        </w:rPr>
        <w:t xml:space="preserve"> </w:t>
      </w:r>
      <w:r w:rsidR="00DC73DF" w:rsidRPr="00DC73DF">
        <w:rPr>
          <w:rFonts w:asciiTheme="minorHAnsi" w:hAnsiTheme="minorHAnsi"/>
          <w:iCs/>
        </w:rPr>
        <w:t>In legal discourse, the claim that cost-benefit analysis is the only plausible way to think about risk and precaution is articulated as a criticism of two other standards of precaution—namely, the “safe</w:t>
      </w:r>
      <w:r w:rsidR="001F7B35">
        <w:rPr>
          <w:rFonts w:asciiTheme="minorHAnsi" w:hAnsiTheme="minorHAnsi"/>
          <w:iCs/>
        </w:rPr>
        <w:t>-</w:t>
      </w:r>
      <w:r w:rsidR="00DC73DF" w:rsidRPr="00DC73DF">
        <w:rPr>
          <w:rFonts w:asciiTheme="minorHAnsi" w:hAnsiTheme="minorHAnsi"/>
          <w:iCs/>
        </w:rPr>
        <w:t>level” and “feasibility” standards.</w:t>
      </w:r>
      <w:bookmarkStart w:id="12" w:name="_Ref339535003"/>
      <w:r w:rsidR="00DC73DF" w:rsidRPr="00DC73DF">
        <w:rPr>
          <w:rFonts w:asciiTheme="minorHAnsi" w:hAnsiTheme="minorHAnsi"/>
          <w:iCs/>
          <w:vertAlign w:val="superscript"/>
        </w:rPr>
        <w:footnoteReference w:id="48"/>
      </w:r>
      <w:bookmarkEnd w:id="12"/>
      <w:r w:rsidR="00DC73DF" w:rsidRPr="00DC73DF">
        <w:rPr>
          <w:rFonts w:asciiTheme="minorHAnsi" w:hAnsiTheme="minorHAnsi"/>
          <w:iCs/>
        </w:rPr>
        <w:t xml:space="preserve"> Federal statutory standards governing health, environmental</w:t>
      </w:r>
      <w:r w:rsidR="001F7B35">
        <w:rPr>
          <w:rFonts w:asciiTheme="minorHAnsi" w:hAnsiTheme="minorHAnsi"/>
          <w:iCs/>
        </w:rPr>
        <w:t>,</w:t>
      </w:r>
      <w:r w:rsidR="00DC73DF" w:rsidRPr="00DC73DF">
        <w:rPr>
          <w:rFonts w:asciiTheme="minorHAnsi" w:hAnsiTheme="minorHAnsi"/>
          <w:iCs/>
        </w:rPr>
        <w:t xml:space="preserve"> and safety regulation often insist that some activity be made “safe,” or that some risk be reduced to the point where further reduction would be “infeasible.” The regulation of air, food, and water quality is the principal habitat of the “safe-level” standard, and the regulation of occupational health and safety is the principal habitat of the feasibility standard. The three standards identify distinct levels of permissible risk imposition. Normally, they stand in linear, vertical relation to one another, with the safety standard tolerating the least risk and the cost-justification standard tolerating the most.</w:t>
      </w:r>
      <w:r w:rsidR="00DC73DF" w:rsidRPr="00DC73DF">
        <w:rPr>
          <w:rFonts w:asciiTheme="minorHAnsi" w:hAnsiTheme="minorHAnsi"/>
          <w:iCs/>
          <w:vertAlign w:val="superscript"/>
        </w:rPr>
        <w:footnoteReference w:id="49"/>
      </w:r>
      <w:r w:rsidR="00DC73DF" w:rsidRPr="00DC73DF">
        <w:rPr>
          <w:rFonts w:asciiTheme="minorHAnsi" w:hAnsiTheme="minorHAnsi"/>
          <w:iCs/>
        </w:rPr>
        <w:t xml:space="preserve"> </w:t>
      </w:r>
    </w:p>
    <w:p w14:paraId="3C5CB57F" w14:textId="77777777" w:rsidR="00DC73DF" w:rsidRPr="00DC73DF" w:rsidRDefault="00DC73DF" w:rsidP="00DC73DF">
      <w:pPr>
        <w:numPr>
          <w:ilvl w:val="0"/>
          <w:numId w:val="35"/>
        </w:numPr>
        <w:jc w:val="both"/>
        <w:rPr>
          <w:rFonts w:asciiTheme="minorHAnsi" w:hAnsiTheme="minorHAnsi"/>
          <w:i/>
          <w:iCs/>
        </w:rPr>
      </w:pPr>
      <w:r w:rsidRPr="00DC73DF">
        <w:rPr>
          <w:rFonts w:asciiTheme="minorHAnsi" w:hAnsiTheme="minorHAnsi"/>
          <w:i/>
          <w:iCs/>
        </w:rPr>
        <w:t>Safe, Feasible and Cost-Justified Precaution</w:t>
      </w:r>
    </w:p>
    <w:p w14:paraId="12F41E5B" w14:textId="04BC44F2" w:rsidR="00DC73DF" w:rsidRPr="00DC73DF" w:rsidRDefault="00DC73DF" w:rsidP="00DC73DF">
      <w:pPr>
        <w:jc w:val="both"/>
        <w:rPr>
          <w:rFonts w:asciiTheme="minorHAnsi" w:hAnsiTheme="minorHAnsi"/>
          <w:iCs/>
        </w:rPr>
      </w:pPr>
      <w:r w:rsidRPr="00DC73DF">
        <w:rPr>
          <w:rFonts w:asciiTheme="minorHAnsi" w:hAnsiTheme="minorHAnsi"/>
          <w:iCs/>
        </w:rPr>
        <w:t xml:space="preserve">The two standards of most interest to us—the safety and feasibility standards—deploy a relatively well-integrated set of concepts. The concepts of “safe level,” “feasible risk reduction” and “significant” risk that form the core of both statutory standards are terms of art. The feasibility </w:t>
      </w:r>
      <w:r w:rsidRPr="00DC73DF">
        <w:rPr>
          <w:rFonts w:asciiTheme="minorHAnsi" w:hAnsiTheme="minorHAnsi"/>
          <w:iCs/>
        </w:rPr>
        <w:lastRenderedPageBreak/>
        <w:t xml:space="preserve">standard, for its part, is further broken down into technological and economic prongs. The legal regimes that the standards establish need to be understood in terms of these concepts; in relation to one another; in relation to the idea of cost-justified risk reduction; and in light of their usual domains of application. </w:t>
      </w:r>
    </w:p>
    <w:p w14:paraId="5D72C0F8" w14:textId="77777777" w:rsidR="00DC73DF" w:rsidRPr="00DC73DF" w:rsidRDefault="00DC73DF" w:rsidP="00DC73DF">
      <w:pPr>
        <w:numPr>
          <w:ilvl w:val="0"/>
          <w:numId w:val="26"/>
        </w:numPr>
        <w:jc w:val="both"/>
        <w:rPr>
          <w:rFonts w:asciiTheme="minorHAnsi" w:hAnsiTheme="minorHAnsi"/>
          <w:iCs/>
          <w:u w:val="single"/>
        </w:rPr>
      </w:pPr>
      <w:r w:rsidRPr="00DC73DF">
        <w:rPr>
          <w:rFonts w:asciiTheme="minorHAnsi" w:hAnsiTheme="minorHAnsi"/>
          <w:iCs/>
          <w:u w:val="single"/>
        </w:rPr>
        <w:t>The Safe-Level Standard</w:t>
      </w:r>
    </w:p>
    <w:p w14:paraId="4A7B179A" w14:textId="36CFD679" w:rsidR="00DC73DF" w:rsidRPr="00DC73DF" w:rsidRDefault="00DC73DF" w:rsidP="00DC73DF">
      <w:pPr>
        <w:jc w:val="both"/>
        <w:rPr>
          <w:rFonts w:asciiTheme="minorHAnsi" w:hAnsiTheme="minorHAnsi"/>
          <w:iCs/>
        </w:rPr>
      </w:pPr>
      <w:r w:rsidRPr="00DC73DF">
        <w:rPr>
          <w:rFonts w:asciiTheme="minorHAnsi" w:hAnsiTheme="minorHAnsi"/>
          <w:iCs/>
        </w:rPr>
        <w:t>The Food</w:t>
      </w:r>
      <w:bookmarkStart w:id="13" w:name="_Ref258931585"/>
      <w:r w:rsidRPr="00DC73DF">
        <w:rPr>
          <w:rFonts w:asciiTheme="minorHAnsi" w:hAnsiTheme="minorHAnsi"/>
          <w:iCs/>
        </w:rPr>
        <w:t xml:space="preserve"> Quality Protection Act of 1996</w:t>
      </w:r>
      <w:bookmarkEnd w:id="13"/>
      <w:r w:rsidRPr="00DC73DF">
        <w:rPr>
          <w:rFonts w:asciiTheme="minorHAnsi" w:hAnsiTheme="minorHAnsi"/>
          <w:iCs/>
        </w:rPr>
        <w:t xml:space="preserve"> embodies the safe-level standard.</w:t>
      </w:r>
      <w:r w:rsidRPr="00DC73DF">
        <w:rPr>
          <w:rFonts w:asciiTheme="minorHAnsi" w:hAnsiTheme="minorHAnsi"/>
          <w:iCs/>
          <w:vertAlign w:val="superscript"/>
        </w:rPr>
        <w:footnoteReference w:id="50"/>
      </w:r>
      <w:r w:rsidRPr="00DC73DF">
        <w:rPr>
          <w:rFonts w:asciiTheme="minorHAnsi" w:hAnsiTheme="minorHAnsi"/>
          <w:iCs/>
        </w:rPr>
        <w:t xml:space="preserve"> It requires that pesticide residue on fresh and processed foods be reduced to a “safe” level.</w:t>
      </w:r>
      <w:r w:rsidRPr="00DC73DF">
        <w:rPr>
          <w:rFonts w:asciiTheme="minorHAnsi" w:hAnsiTheme="minorHAnsi"/>
          <w:iCs/>
          <w:vertAlign w:val="superscript"/>
        </w:rPr>
        <w:footnoteReference w:id="51"/>
      </w:r>
      <w:r w:rsidRPr="00DC73DF">
        <w:rPr>
          <w:rFonts w:asciiTheme="minorHAnsi" w:hAnsiTheme="minorHAnsi"/>
          <w:iCs/>
        </w:rPr>
        <w:t xml:space="preserve"> “Safe,” in turn, means “there is reasonable certainty that no harm will result from aggregate exposure to the pesticide chemical residue, including all dietary exposures and all other exposures.”</w:t>
      </w:r>
      <w:r w:rsidRPr="00DC73DF">
        <w:rPr>
          <w:rFonts w:asciiTheme="minorHAnsi" w:hAnsiTheme="minorHAnsi"/>
          <w:iCs/>
          <w:vertAlign w:val="superscript"/>
        </w:rPr>
        <w:footnoteReference w:id="52"/>
      </w:r>
      <w:r w:rsidRPr="00DC73DF">
        <w:rPr>
          <w:rFonts w:asciiTheme="minorHAnsi" w:hAnsiTheme="minorHAnsi"/>
          <w:iCs/>
        </w:rPr>
        <w:t xml:space="preserve"> This standard is made even more stringent by instructions to regulators to set limits that provide for an additional margin of safety in light of the special susceptibility of infants and children to harm from toxic substances.</w:t>
      </w:r>
      <w:r w:rsidRPr="00DC73DF">
        <w:rPr>
          <w:rFonts w:asciiTheme="minorHAnsi" w:hAnsiTheme="minorHAnsi"/>
          <w:iCs/>
          <w:vertAlign w:val="superscript"/>
        </w:rPr>
        <w:footnoteReference w:id="53"/>
      </w:r>
      <w:r w:rsidRPr="00DC73DF">
        <w:rPr>
          <w:rFonts w:asciiTheme="minorHAnsi" w:hAnsiTheme="minorHAnsi"/>
          <w:iCs/>
        </w:rPr>
        <w:t xml:space="preserve"> Pesticide residue on food is thus acceptable only to the extent that it is reasonably certain to harm no one—not even those unusually vulnerable to harm. Applying the safe-level standard therefore does not require any inquiry into the costs of risk reduction. All that it requires is a determination of the level at which the risk created by exposure to the regulated substance ceases to be significant.</w:t>
      </w:r>
    </w:p>
    <w:p w14:paraId="6F454F73" w14:textId="1DF63BDA" w:rsidR="00DC73DF" w:rsidRPr="00DC73DF" w:rsidRDefault="00DC73DF" w:rsidP="00DC73DF">
      <w:pPr>
        <w:jc w:val="both"/>
        <w:rPr>
          <w:rFonts w:asciiTheme="minorHAnsi" w:hAnsiTheme="minorHAnsi"/>
          <w:iCs/>
        </w:rPr>
      </w:pPr>
      <w:r w:rsidRPr="00DC73DF">
        <w:rPr>
          <w:rFonts w:asciiTheme="minorHAnsi" w:hAnsiTheme="minorHAnsi"/>
          <w:iCs/>
        </w:rPr>
        <w:t xml:space="preserve">Among the three standards, the safe-level standard tolerates the least risk. Safety-based regulations require risk to be reduced to a point where no “significant risk” of devastating injury remains. This may well require moving </w:t>
      </w:r>
      <w:r w:rsidRPr="00DC73DF">
        <w:rPr>
          <w:rFonts w:asciiTheme="minorHAnsi" w:hAnsiTheme="minorHAnsi"/>
          <w:i/>
          <w:iCs/>
        </w:rPr>
        <w:t>beyond</w:t>
      </w:r>
      <w:r w:rsidRPr="00DC73DF">
        <w:rPr>
          <w:rFonts w:asciiTheme="minorHAnsi" w:hAnsiTheme="minorHAnsi"/>
          <w:iCs/>
        </w:rPr>
        <w:t xml:space="preserve"> the point of cost-justified precaution (and beyond the point of feasible precaution, too). If efficient precaution is taken and significant risk still remains, the safe</w:t>
      </w:r>
      <w:r w:rsidR="001F7B35">
        <w:rPr>
          <w:rFonts w:asciiTheme="minorHAnsi" w:hAnsiTheme="minorHAnsi"/>
          <w:iCs/>
        </w:rPr>
        <w:t>-</w:t>
      </w:r>
      <w:r w:rsidRPr="00DC73DF">
        <w:rPr>
          <w:rFonts w:asciiTheme="minorHAnsi" w:hAnsiTheme="minorHAnsi"/>
          <w:iCs/>
        </w:rPr>
        <w:t>level standard requires further reduction.</w:t>
      </w:r>
      <w:r w:rsidRPr="00DC73DF">
        <w:rPr>
          <w:rFonts w:asciiTheme="minorHAnsi" w:hAnsiTheme="minorHAnsi"/>
          <w:iCs/>
          <w:vertAlign w:val="superscript"/>
        </w:rPr>
        <w:footnoteReference w:id="54"/>
      </w:r>
      <w:r w:rsidRPr="00DC73DF">
        <w:rPr>
          <w:rFonts w:asciiTheme="minorHAnsi" w:hAnsiTheme="minorHAnsi"/>
          <w:iCs/>
        </w:rPr>
        <w:t xml:space="preserve"> The standard may therefore require precaution that presses beyond the point of maximum net benefit, as cost-benefit analysis conceives that point.</w:t>
      </w:r>
    </w:p>
    <w:p w14:paraId="6B68E808" w14:textId="77777777" w:rsidR="00DC73DF" w:rsidRPr="00DC73DF" w:rsidRDefault="00DC73DF" w:rsidP="00DC73DF">
      <w:pPr>
        <w:numPr>
          <w:ilvl w:val="0"/>
          <w:numId w:val="26"/>
        </w:numPr>
        <w:jc w:val="both"/>
        <w:rPr>
          <w:rFonts w:asciiTheme="minorHAnsi" w:hAnsiTheme="minorHAnsi"/>
          <w:iCs/>
          <w:u w:val="single"/>
        </w:rPr>
      </w:pPr>
      <w:r w:rsidRPr="00DC73DF">
        <w:rPr>
          <w:rFonts w:asciiTheme="minorHAnsi" w:hAnsiTheme="minorHAnsi"/>
          <w:iCs/>
          <w:u w:val="single"/>
        </w:rPr>
        <w:t>The Feasibility Standard</w:t>
      </w:r>
    </w:p>
    <w:p w14:paraId="727145B4" w14:textId="520003AF" w:rsidR="00DC73DF" w:rsidRPr="00DC73DF" w:rsidRDefault="00DC73DF" w:rsidP="00DC73DF">
      <w:pPr>
        <w:jc w:val="both"/>
        <w:rPr>
          <w:rFonts w:asciiTheme="minorHAnsi" w:hAnsiTheme="minorHAnsi"/>
          <w:iCs/>
        </w:rPr>
      </w:pPr>
      <w:r w:rsidRPr="00DC73DF">
        <w:rPr>
          <w:rFonts w:asciiTheme="minorHAnsi" w:hAnsiTheme="minorHAnsi"/>
          <w:iCs/>
        </w:rPr>
        <w:t>The feasibility standard is at least as salient in federal risk regulation as the “safe-level” standard. The Clean Air Act, for example, provides that standards for hazardous air pollutants “shall require the maximum degree of reduction in emissions” that the EPA, “taking into consideration the cost of achieving such emission reduction” determines to be “achievable.”</w:t>
      </w:r>
      <w:r w:rsidRPr="00DC73DF">
        <w:rPr>
          <w:rFonts w:asciiTheme="minorHAnsi" w:hAnsiTheme="minorHAnsi"/>
          <w:iCs/>
          <w:vertAlign w:val="superscript"/>
        </w:rPr>
        <w:footnoteReference w:id="55"/>
      </w:r>
      <w:r w:rsidRPr="00DC73DF">
        <w:rPr>
          <w:rFonts w:asciiTheme="minorHAnsi" w:hAnsiTheme="minorHAnsi"/>
          <w:iCs/>
        </w:rPr>
        <w:t xml:space="preserve"> Feasible risk reduction does not require the elimination of all significant risk. It is less stringent than the safety standard, but generally more stringent than cost-justified precaution. Feasible precaution calls for reducing an activity’s risks as far as possible consistent with the long-term flourishing of the activity. Because it requires that significant risks be reduced until either (1) they are insignificant, or (2) further reduction would jeopardize the long-run health of the activity whose risks they are, feasible risk reduction may require pressing precaution beyond the point where a dollar more spent on the prevention of harm yields </w:t>
      </w:r>
      <w:r w:rsidRPr="00DC73DF">
        <w:rPr>
          <w:rFonts w:asciiTheme="minorHAnsi" w:hAnsiTheme="minorHAnsi"/>
          <w:iCs/>
        </w:rPr>
        <w:lastRenderedPageBreak/>
        <w:t xml:space="preserve">more than a dollar’s worth of harm prevented, and to the point where further risk reduction would endanger the activity. </w:t>
      </w:r>
    </w:p>
    <w:p w14:paraId="7E8BECC5" w14:textId="77777777" w:rsidR="00DC73DF" w:rsidRPr="00DC73DF" w:rsidRDefault="00DC73DF" w:rsidP="00DC73DF">
      <w:pPr>
        <w:numPr>
          <w:ilvl w:val="0"/>
          <w:numId w:val="26"/>
        </w:numPr>
        <w:jc w:val="both"/>
        <w:rPr>
          <w:rFonts w:asciiTheme="minorHAnsi" w:hAnsiTheme="minorHAnsi"/>
          <w:iCs/>
          <w:u w:val="single"/>
        </w:rPr>
      </w:pPr>
      <w:r w:rsidRPr="00DC73DF">
        <w:rPr>
          <w:rFonts w:asciiTheme="minorHAnsi" w:hAnsiTheme="minorHAnsi"/>
          <w:iCs/>
          <w:u w:val="single"/>
        </w:rPr>
        <w:t>The Cost-Benefit Standard and Its Claims</w:t>
      </w:r>
    </w:p>
    <w:p w14:paraId="038D55AF" w14:textId="77777777" w:rsidR="00DC73DF" w:rsidRPr="00DC73DF" w:rsidRDefault="00DC73DF" w:rsidP="00DC73DF">
      <w:pPr>
        <w:jc w:val="both"/>
        <w:rPr>
          <w:rFonts w:asciiTheme="minorHAnsi" w:hAnsiTheme="minorHAnsi"/>
          <w:iCs/>
        </w:rPr>
      </w:pPr>
      <w:r w:rsidRPr="00DC73DF">
        <w:rPr>
          <w:rFonts w:asciiTheme="minorHAnsi" w:hAnsiTheme="minorHAnsi"/>
          <w:iCs/>
        </w:rPr>
        <w:t>The basic idea of cost-justified risk imposition is easy to state, perhaps deceptively so. Cost-justified precaution requires risks to be reduced to the point where the costs of further precautions exceed their benefits. Cost and benefit, for their part, are all-encompassing concepts. In a well-known defense of cost-benefit analysis, the economist Robert Solow explained that “the cost of the good thing to be obtained is precisely the good thing that must or will be given up to obtain it.”</w:t>
      </w:r>
      <w:r w:rsidRPr="00DC73DF">
        <w:rPr>
          <w:rFonts w:asciiTheme="minorHAnsi" w:hAnsiTheme="minorHAnsi"/>
          <w:iCs/>
          <w:vertAlign w:val="superscript"/>
        </w:rPr>
        <w:footnoteReference w:id="56"/>
      </w:r>
      <w:r w:rsidRPr="00DC73DF">
        <w:rPr>
          <w:rFonts w:asciiTheme="minorHAnsi" w:hAnsiTheme="minorHAnsi"/>
          <w:iCs/>
        </w:rPr>
        <w:t xml:space="preserve"> “Cost,” then, is anything given up to obtain something else. “Benefit” is the flip side of the coin—anything worth attaining whose attainment requires giving something up. An ideal cost-benefit analysis takes all costs and all benefits into account and identifies the point at which costs and benefits are balanced so that net benefit is maximized. In practice, almost all cost-benefit analyses take more restricted sets of costs and benefits into account. In the context of accidental injury, for example, the criterion of cost-justification is usually said to require minimizing the “sum of precaution, accidental harm, and administration costs.”</w:t>
      </w:r>
      <w:r w:rsidRPr="00DC73DF">
        <w:rPr>
          <w:rFonts w:asciiTheme="minorHAnsi" w:hAnsiTheme="minorHAnsi"/>
          <w:iCs/>
          <w:vertAlign w:val="superscript"/>
        </w:rPr>
        <w:footnoteReference w:id="57"/>
      </w:r>
      <w:r w:rsidRPr="00DC73DF">
        <w:rPr>
          <w:rFonts w:asciiTheme="minorHAnsi" w:hAnsiTheme="minorHAnsi"/>
          <w:iCs/>
        </w:rPr>
        <w:t xml:space="preserve">  For present purposes it will do to say that cost-justified precaution holds that risk should be reduced to the point of maximum net benefit, economically conceived. That point is the point at which a dollar more spent avoiding harm yields less than a dollar’s worth of harm avoided. In general, cost-justified precaution is the least stringent of the three standards of precaution. </w:t>
      </w:r>
    </w:p>
    <w:p w14:paraId="4B700206" w14:textId="77777777" w:rsidR="00DC73DF" w:rsidRPr="00DC73DF" w:rsidRDefault="00DC73DF" w:rsidP="00DC73DF">
      <w:pPr>
        <w:numPr>
          <w:ilvl w:val="0"/>
          <w:numId w:val="35"/>
        </w:numPr>
        <w:jc w:val="both"/>
        <w:rPr>
          <w:rFonts w:asciiTheme="minorHAnsi" w:hAnsiTheme="minorHAnsi"/>
          <w:i/>
          <w:iCs/>
        </w:rPr>
      </w:pPr>
      <w:r w:rsidRPr="00DC73DF">
        <w:rPr>
          <w:rFonts w:asciiTheme="minorHAnsi" w:hAnsiTheme="minorHAnsi"/>
          <w:i/>
          <w:iCs/>
        </w:rPr>
        <w:t>Do the Standards Really Identify Different Levels of Precaution?</w:t>
      </w:r>
    </w:p>
    <w:p w14:paraId="65D7EDE4" w14:textId="08884185" w:rsidR="00DC73DF" w:rsidRPr="00DC73DF" w:rsidRDefault="00DC73DF" w:rsidP="00DC73DF">
      <w:pPr>
        <w:jc w:val="both"/>
        <w:rPr>
          <w:rFonts w:asciiTheme="minorHAnsi" w:hAnsiTheme="minorHAnsi"/>
          <w:iCs/>
        </w:rPr>
      </w:pPr>
      <w:r w:rsidRPr="00DC73DF">
        <w:rPr>
          <w:rFonts w:asciiTheme="minorHAnsi" w:hAnsiTheme="minorHAnsi"/>
          <w:iCs/>
        </w:rPr>
        <w:t>The safety and feasibility standards were born in the 1960s and 70s, in the last great flowering of liberal legal reform. They were and are championed by political liberals. They have their roots in the founding of the Environmental Protection Agency in 1970 and the Occupational Health and Safety Administration in 1971. They dominated the regulatory landscape into the 1980s</w:t>
      </w:r>
      <w:bookmarkStart w:id="14" w:name="_Ref258778732"/>
      <w:r w:rsidRPr="00DC73DF">
        <w:rPr>
          <w:rFonts w:asciiTheme="minorHAnsi" w:hAnsiTheme="minorHAnsi"/>
          <w:iCs/>
        </w:rPr>
        <w:t>,</w:t>
      </w:r>
      <w:bookmarkEnd w:id="14"/>
      <w:r w:rsidRPr="00DC73DF">
        <w:rPr>
          <w:rFonts w:asciiTheme="minorHAnsi" w:hAnsiTheme="minorHAnsi"/>
          <w:iCs/>
        </w:rPr>
        <w:t xml:space="preserve"> and they received important legislative reaffirmation during the 1990s—as the Food Quality Protection Act of 1996 itself shows.</w:t>
      </w:r>
      <w:bookmarkStart w:id="15" w:name="_Ref339124036"/>
      <w:r w:rsidRPr="00DC73DF">
        <w:rPr>
          <w:rFonts w:asciiTheme="minorHAnsi" w:hAnsiTheme="minorHAnsi"/>
          <w:iCs/>
          <w:vertAlign w:val="superscript"/>
        </w:rPr>
        <w:footnoteReference w:id="58"/>
      </w:r>
      <w:bookmarkEnd w:id="15"/>
      <w:r w:rsidRPr="00DC73DF">
        <w:rPr>
          <w:rFonts w:asciiTheme="minorHAnsi" w:hAnsiTheme="minorHAnsi"/>
          <w:iCs/>
        </w:rPr>
        <w:t xml:space="preserve"> Early in the 1980s, however, the political right began championing cost-benefit analysis and cost-justified precaution as its preferred alternative to safe and feasible risk-reduction. In 1982, the Reagan Administration put into place an executive order requiring cost-benefit analysis for all “significant” federal regulations unless conducting such analysis was prohibited by law—if, for example, the authorizing statute itself forbade consideration of cost.</w:t>
      </w:r>
      <w:bookmarkStart w:id="16" w:name="_Ref258778270"/>
      <w:r w:rsidRPr="00DC73DF">
        <w:rPr>
          <w:rFonts w:asciiTheme="minorHAnsi" w:hAnsiTheme="minorHAnsi"/>
          <w:iCs/>
          <w:vertAlign w:val="superscript"/>
        </w:rPr>
        <w:footnoteReference w:id="59"/>
      </w:r>
      <w:bookmarkEnd w:id="16"/>
      <w:r w:rsidRPr="00DC73DF">
        <w:rPr>
          <w:rFonts w:asciiTheme="minorHAnsi" w:hAnsiTheme="minorHAnsi"/>
          <w:iCs/>
        </w:rPr>
        <w:t xml:space="preserve"> Since the early 1980s</w:t>
      </w:r>
      <w:r w:rsidR="008B7007">
        <w:rPr>
          <w:rFonts w:asciiTheme="minorHAnsi" w:hAnsiTheme="minorHAnsi"/>
          <w:iCs/>
        </w:rPr>
        <w:t>,</w:t>
      </w:r>
      <w:r w:rsidRPr="00DC73DF">
        <w:rPr>
          <w:rFonts w:asciiTheme="minorHAnsi" w:hAnsiTheme="minorHAnsi"/>
          <w:iCs/>
        </w:rPr>
        <w:t xml:space="preserve"> the two approaches have been engaged in a prolonged tussle.</w:t>
      </w:r>
    </w:p>
    <w:p w14:paraId="299CD790" w14:textId="77777777" w:rsidR="00DC73DF" w:rsidRPr="00DC73DF" w:rsidRDefault="00DC73DF" w:rsidP="00DC73DF">
      <w:pPr>
        <w:jc w:val="both"/>
        <w:rPr>
          <w:rFonts w:asciiTheme="minorHAnsi" w:hAnsiTheme="minorHAnsi"/>
          <w:iCs/>
        </w:rPr>
      </w:pPr>
      <w:r w:rsidRPr="00DC73DF">
        <w:rPr>
          <w:rFonts w:asciiTheme="minorHAnsi" w:hAnsiTheme="minorHAnsi"/>
          <w:iCs/>
        </w:rPr>
        <w:lastRenderedPageBreak/>
        <w:t xml:space="preserve">This tussle is worth continuing only if the standards really do identify different levels of required precaution. It is plain from what has been said so far that the standards express different normative judgments. The following examples show, I hope, that these three standards identify different levels of precaution in important cases. The circumstances to which the safety, feasibility and cost-justification standards apply in the examples that I have chosen differ from the circumstances contemplated by federal health and safety statutes in some ways. The differences in circumstances of application, however, no doubt has its disadvantages, but it also has an advantage. The three standards of precaution are discernible across domains, notwithstanding the ways in which they are reshaped by the demands of different institutional domains. Their persistence across diverse contexts suggests that the normative convictions they express are robust.   </w:t>
      </w:r>
    </w:p>
    <w:p w14:paraId="6EC63D02" w14:textId="77777777" w:rsidR="00DC73DF" w:rsidRPr="00DC73DF" w:rsidRDefault="00DC73DF" w:rsidP="00DC73DF">
      <w:pPr>
        <w:numPr>
          <w:ilvl w:val="0"/>
          <w:numId w:val="36"/>
        </w:numPr>
        <w:jc w:val="both"/>
        <w:rPr>
          <w:rFonts w:asciiTheme="minorHAnsi" w:hAnsiTheme="minorHAnsi"/>
          <w:iCs/>
          <w:u w:val="single"/>
        </w:rPr>
      </w:pPr>
      <w:r w:rsidRPr="00DC73DF">
        <w:rPr>
          <w:rFonts w:asciiTheme="minorHAnsi" w:hAnsiTheme="minorHAnsi"/>
          <w:iCs/>
          <w:u w:val="single"/>
        </w:rPr>
        <w:t>The Safety Standard: Consumer Expectations</w:t>
      </w:r>
    </w:p>
    <w:p w14:paraId="3C2D9484" w14:textId="7E2F89F7" w:rsidR="00DC73DF" w:rsidRPr="00DC73DF" w:rsidRDefault="00DC73DF" w:rsidP="00DC73DF">
      <w:pPr>
        <w:jc w:val="both"/>
        <w:rPr>
          <w:rFonts w:asciiTheme="minorHAnsi" w:hAnsiTheme="minorHAnsi"/>
          <w:iCs/>
        </w:rPr>
      </w:pPr>
      <w:r w:rsidRPr="00DC73DF">
        <w:rPr>
          <w:rFonts w:asciiTheme="minorHAnsi" w:hAnsiTheme="minorHAnsi"/>
          <w:iCs/>
        </w:rPr>
        <w:t xml:space="preserve"> In the United States, the two most common tests of product design defectiveness are the risk-utility test and the consumer-expectation test. Law and economics scholars usually take the risk-utility test to be an application of cost-benefit analysis to product design.</w:t>
      </w:r>
      <w:r w:rsidRPr="00DC73DF">
        <w:rPr>
          <w:rFonts w:asciiTheme="minorHAnsi" w:hAnsiTheme="minorHAnsi"/>
          <w:iCs/>
          <w:vertAlign w:val="superscript"/>
        </w:rPr>
        <w:footnoteReference w:id="60"/>
      </w:r>
      <w:r w:rsidRPr="00DC73DF">
        <w:rPr>
          <w:rFonts w:asciiTheme="minorHAnsi" w:hAnsiTheme="minorHAnsi"/>
          <w:iCs/>
        </w:rPr>
        <w:t xml:space="preserve"> By contrast, in some applications, the consumer-expectation test works as a “safe-level” standard. Whereas the risk-utility test focuses on product design from the perspective of a product engineer, the consumer-expectation test focuses on product performance from the perspective of the user. Sometimes people expect products to be safe—not perfect, but safe. And sometimes a product which passes muster under the risk-utility test is not safe. </w:t>
      </w:r>
      <w:r w:rsidRPr="00DC73DF">
        <w:rPr>
          <w:rFonts w:asciiTheme="minorHAnsi" w:hAnsiTheme="minorHAnsi"/>
          <w:i/>
          <w:iCs/>
        </w:rPr>
        <w:t>Green v. Smith &amp; Nephew AHP, Inc.,</w:t>
      </w:r>
      <w:r w:rsidRPr="00DC73DF">
        <w:rPr>
          <w:rFonts w:asciiTheme="minorHAnsi" w:hAnsiTheme="minorHAnsi"/>
          <w:iCs/>
          <w:vertAlign w:val="superscript"/>
        </w:rPr>
        <w:t xml:space="preserve"> </w:t>
      </w:r>
      <w:r w:rsidRPr="00DC73DF">
        <w:rPr>
          <w:rFonts w:asciiTheme="minorHAnsi" w:hAnsiTheme="minorHAnsi"/>
          <w:iCs/>
        </w:rPr>
        <w:t>illustrates this kind of circumstance nicely.</w:t>
      </w:r>
      <w:r w:rsidRPr="00DC73DF">
        <w:rPr>
          <w:rFonts w:asciiTheme="minorHAnsi" w:hAnsiTheme="minorHAnsi"/>
          <w:iCs/>
          <w:vertAlign w:val="superscript"/>
        </w:rPr>
        <w:footnoteReference w:id="61"/>
      </w:r>
      <w:r w:rsidRPr="00DC73DF">
        <w:rPr>
          <w:rFonts w:asciiTheme="minorHAnsi" w:hAnsiTheme="minorHAnsi"/>
          <w:iCs/>
        </w:rPr>
        <w:t xml:space="preserve"> Plaintiff Green worked as a medical technologist in a hospital. </w:t>
      </w:r>
    </w:p>
    <w:p w14:paraId="42216524" w14:textId="4BDC59BB" w:rsidR="00DC73DF" w:rsidRPr="00DC73DF" w:rsidRDefault="00DC73DF" w:rsidP="002D5108">
      <w:pPr>
        <w:ind w:left="720" w:firstLine="0"/>
        <w:jc w:val="both"/>
        <w:rPr>
          <w:rFonts w:asciiTheme="minorHAnsi" w:hAnsiTheme="minorHAnsi"/>
          <w:iCs/>
        </w:rPr>
      </w:pPr>
      <w:r w:rsidRPr="00DC73DF">
        <w:rPr>
          <w:rFonts w:asciiTheme="minorHAnsi" w:hAnsiTheme="minorHAnsi"/>
          <w:iCs/>
        </w:rPr>
        <w:t>Her job required her to wear protective gloves</w:t>
      </w:r>
      <w:r w:rsidRPr="00DC73DF">
        <w:rPr>
          <w:rFonts w:asciiTheme="minorHAnsi" w:hAnsiTheme="minorHAnsi"/>
          <w:iCs/>
          <w:lang w:val="en-CA"/>
        </w:rPr>
        <w:t xml:space="preserve"> </w:t>
      </w:r>
      <w:r w:rsidRPr="00DC73DF">
        <w:rPr>
          <w:rFonts w:asciiTheme="minorHAnsi" w:hAnsiTheme="minorHAnsi"/>
          <w:iCs/>
          <w:lang w:val="en-CA"/>
        </w:rPr>
        <w:fldChar w:fldCharType="begin"/>
      </w:r>
      <w:r w:rsidRPr="00DC73DF">
        <w:rPr>
          <w:rFonts w:asciiTheme="minorHAnsi" w:hAnsiTheme="minorHAnsi"/>
          <w:iCs/>
          <w:lang w:val="en-CA"/>
        </w:rPr>
        <w:instrText xml:space="preserve"> SEQ CHAPTER \h \r 1</w:instrText>
      </w:r>
      <w:r w:rsidRPr="00DC73DF">
        <w:rPr>
          <w:rFonts w:asciiTheme="minorHAnsi" w:hAnsiTheme="minorHAnsi"/>
          <w:iCs/>
        </w:rPr>
        <w:fldChar w:fldCharType="end"/>
      </w:r>
      <w:r w:rsidRPr="00DC73DF">
        <w:rPr>
          <w:rFonts w:asciiTheme="minorHAnsi" w:hAnsiTheme="minorHAnsi"/>
          <w:iCs/>
        </w:rPr>
        <w:t>while attending patients, up to 40 pairs of gloves per shift. She wore powdered latex gloves manufactured by [the defendant. After a period of prolonged use] Green experienced increasingly severe health problems – cold-like symptoms, wide-spread rash, acute shortness of breath. She was hospitalized four times. In 1991 Green was diagnosed with latex allergy. Given her allergy, Green must avoid contact with latex. So she had to change jobs and must limit the items she buys, things she eats, and activities she pursues. On account of the allergy, Green developed asthma.</w:t>
      </w:r>
      <w:bookmarkStart w:id="17" w:name="_Ref339554781"/>
      <w:r w:rsidRPr="00DC73DF">
        <w:rPr>
          <w:rFonts w:asciiTheme="minorHAnsi" w:hAnsiTheme="minorHAnsi"/>
          <w:iCs/>
          <w:vertAlign w:val="superscript"/>
        </w:rPr>
        <w:footnoteReference w:id="62"/>
      </w:r>
      <w:bookmarkEnd w:id="17"/>
    </w:p>
    <w:p w14:paraId="1266B7B9" w14:textId="450AA8AD" w:rsidR="00DC73DF" w:rsidRPr="00DC73DF" w:rsidRDefault="00DC73DF" w:rsidP="00DC73DF">
      <w:pPr>
        <w:jc w:val="both"/>
        <w:rPr>
          <w:rFonts w:asciiTheme="minorHAnsi" w:hAnsiTheme="minorHAnsi"/>
          <w:iCs/>
        </w:rPr>
      </w:pPr>
      <w:r w:rsidRPr="00DC73DF">
        <w:rPr>
          <w:rFonts w:asciiTheme="minorHAnsi" w:hAnsiTheme="minorHAnsi"/>
          <w:iCs/>
        </w:rPr>
        <w:t>Exposure to latex proteins “sensitizes” some people to latex. Subsequent exposure of a sensitized person to latex may produce progressively worse allergic reactions including irreversible asthma and life-threatening anaphylactic shock (which Green suffered). Since latex allergy is caused mainly by use of latex gloves, it disproportionately afflicts health care workers. According to the evidence that Green put on at trial, the frequency of latex allergy among health care workers in the United States is 5 to 17 percent. At the time that Green became sensitized to latex the medical community was unaware of the possibility of latex allergy. Because latex allergy was unknown until the use of latex gloves became widespread, if Green’s claim were judged by the risk-utility test it would most likely have failed.</w:t>
      </w:r>
      <w:r w:rsidRPr="00DC73DF">
        <w:rPr>
          <w:rFonts w:asciiTheme="minorHAnsi" w:hAnsiTheme="minorHAnsi"/>
          <w:iCs/>
          <w:vertAlign w:val="superscript"/>
        </w:rPr>
        <w:footnoteReference w:id="63"/>
      </w:r>
      <w:r w:rsidRPr="00DC73DF">
        <w:rPr>
          <w:rFonts w:asciiTheme="minorHAnsi" w:hAnsiTheme="minorHAnsi"/>
          <w:iCs/>
        </w:rPr>
        <w:t xml:space="preserve"> The cost of discovering the defectiveness of latex gloves years before that </w:t>
      </w:r>
      <w:r w:rsidRPr="00DC73DF">
        <w:rPr>
          <w:rFonts w:asciiTheme="minorHAnsi" w:hAnsiTheme="minorHAnsi"/>
          <w:iCs/>
        </w:rPr>
        <w:lastRenderedPageBreak/>
        <w:t xml:space="preserve">defect manifested itself in health injuries to regular users was surely high. Indeed, it might have been impossible to discover the hazardous effects of long-term use of latex gloves in any way other than through widespread use of such gloves over a prolonged period of time. </w:t>
      </w:r>
    </w:p>
    <w:p w14:paraId="497C77CC" w14:textId="52BC346E" w:rsidR="00DC73DF" w:rsidRPr="00DC73DF" w:rsidRDefault="00DC73DF" w:rsidP="00DC73DF">
      <w:pPr>
        <w:jc w:val="both"/>
        <w:rPr>
          <w:rFonts w:asciiTheme="minorHAnsi" w:hAnsiTheme="minorHAnsi"/>
          <w:iCs/>
        </w:rPr>
      </w:pPr>
      <w:r w:rsidRPr="00DC73DF">
        <w:rPr>
          <w:rFonts w:asciiTheme="minorHAnsi" w:hAnsiTheme="minorHAnsi"/>
          <w:iCs/>
        </w:rPr>
        <w:t>When Wisconsin evaluated the gloves under the consumer expectation test, however, the plaintiff’s claim prevailed. The consumer-expectation test measures product defectiveness by asking if a product is “dangerous to an extent beyond that which would be contemplated by the ordinary consumer.”</w:t>
      </w:r>
      <w:r w:rsidRPr="00DC73DF">
        <w:rPr>
          <w:rFonts w:asciiTheme="minorHAnsi" w:hAnsiTheme="minorHAnsi"/>
          <w:iCs/>
          <w:vertAlign w:val="superscript"/>
        </w:rPr>
        <w:footnoteReference w:id="64"/>
      </w:r>
      <w:r w:rsidRPr="00DC73DF">
        <w:rPr>
          <w:rFonts w:asciiTheme="minorHAnsi" w:hAnsiTheme="minorHAnsi"/>
          <w:iCs/>
        </w:rPr>
        <w:t xml:space="preserve"> That defendant’s latex gloves were defective under the expectation test seemed self-evident to the court. The users of defendant’s gloves reasonably expected that they would not suffer injury from normal use of the product. Consequently, the court did not bother to state the relevant expectation precisely.</w:t>
      </w:r>
      <w:r w:rsidRPr="00DC73DF">
        <w:rPr>
          <w:rFonts w:asciiTheme="minorHAnsi" w:hAnsiTheme="minorHAnsi"/>
          <w:iCs/>
          <w:vertAlign w:val="superscript"/>
        </w:rPr>
        <w:footnoteReference w:id="65"/>
      </w:r>
      <w:r w:rsidRPr="00DC73DF">
        <w:rPr>
          <w:rFonts w:asciiTheme="minorHAnsi" w:hAnsiTheme="minorHAnsi"/>
          <w:iCs/>
        </w:rPr>
        <w:t xml:space="preserve"> It does not seem difficult, however, to do so. All of us reasonably expect that wearing ordinary clothing will not put us at significant risk of serious physical harm. Analogously, health care workers in Green’s position reasonably expect that wearing protective gear would not put them at </w:t>
      </w:r>
      <w:r w:rsidRPr="00DC73DF">
        <w:rPr>
          <w:rFonts w:asciiTheme="minorHAnsi" w:hAnsiTheme="minorHAnsi"/>
          <w:i/>
          <w:iCs/>
        </w:rPr>
        <w:t xml:space="preserve">significant </w:t>
      </w:r>
      <w:r w:rsidRPr="00DC73DF">
        <w:rPr>
          <w:rFonts w:asciiTheme="minorHAnsi" w:hAnsiTheme="minorHAnsi"/>
          <w:iCs/>
        </w:rPr>
        <w:t xml:space="preserve">risk of disabling physical harm. </w:t>
      </w:r>
    </w:p>
    <w:p w14:paraId="7420444A" w14:textId="4084934F" w:rsidR="00BE39F0" w:rsidRPr="00DC73DF" w:rsidRDefault="00DC73DF" w:rsidP="00DC73DF">
      <w:pPr>
        <w:jc w:val="both"/>
        <w:rPr>
          <w:rFonts w:asciiTheme="minorHAnsi" w:hAnsiTheme="minorHAnsi"/>
          <w:iCs/>
        </w:rPr>
      </w:pPr>
      <w:r w:rsidRPr="00DC73DF">
        <w:rPr>
          <w:rFonts w:asciiTheme="minorHAnsi" w:hAnsiTheme="minorHAnsi"/>
          <w:iCs/>
        </w:rPr>
        <w:t>Generalizing, we may say that clothing is a simple and familiar example of a product that we normally expect to be safe. In saying that, we mean that we believe that the clothes we ordinarily wear do not put us at significant risk of physical harm. The question of whether this expectation is cost-justified never arises.</w:t>
      </w:r>
    </w:p>
    <w:p w14:paraId="6F60C523" w14:textId="77777777" w:rsidR="00DC73DF" w:rsidRPr="00DC73DF" w:rsidRDefault="00DC73DF" w:rsidP="00DC73DF">
      <w:pPr>
        <w:numPr>
          <w:ilvl w:val="0"/>
          <w:numId w:val="36"/>
        </w:numPr>
        <w:jc w:val="both"/>
        <w:rPr>
          <w:rFonts w:asciiTheme="minorHAnsi" w:hAnsiTheme="minorHAnsi"/>
          <w:iCs/>
          <w:u w:val="single"/>
        </w:rPr>
      </w:pPr>
      <w:r w:rsidRPr="00DC73DF">
        <w:rPr>
          <w:rFonts w:asciiTheme="minorHAnsi" w:hAnsiTheme="minorHAnsi"/>
          <w:iCs/>
          <w:u w:val="single"/>
        </w:rPr>
        <w:t>The Feasibility Standard: Rescues</w:t>
      </w:r>
    </w:p>
    <w:p w14:paraId="4395D480" w14:textId="6D4F4A0B" w:rsidR="00DC73DF" w:rsidRPr="00DC73DF" w:rsidRDefault="00DC73DF" w:rsidP="00DC73DF">
      <w:pPr>
        <w:jc w:val="both"/>
        <w:rPr>
          <w:rFonts w:asciiTheme="minorHAnsi" w:hAnsiTheme="minorHAnsi"/>
          <w:iCs/>
        </w:rPr>
      </w:pPr>
      <w:r w:rsidRPr="00DC73DF">
        <w:rPr>
          <w:rFonts w:asciiTheme="minorHAnsi" w:hAnsiTheme="minorHAnsi"/>
          <w:iCs/>
        </w:rPr>
        <w:t>The literature on “statistical lives” is haunted by the apparent irrationality of many rescues.</w:t>
      </w:r>
      <w:bookmarkStart w:id="18" w:name="_Ref339124003"/>
      <w:r w:rsidRPr="00DC73DF">
        <w:rPr>
          <w:rFonts w:asciiTheme="minorHAnsi" w:hAnsiTheme="minorHAnsi"/>
          <w:iCs/>
          <w:vertAlign w:val="superscript"/>
        </w:rPr>
        <w:footnoteReference w:id="66"/>
      </w:r>
      <w:bookmarkEnd w:id="18"/>
      <w:r w:rsidRPr="00DC73DF">
        <w:rPr>
          <w:rFonts w:asciiTheme="minorHAnsi" w:hAnsiTheme="minorHAnsi"/>
          <w:iCs/>
        </w:rPr>
        <w:t xml:space="preserve"> Money seems no object when miners are trapped in a mine, or when children are trapped in a burning building. From an economic perspective this seems foolish and extravagant. The rational way to budget our “rescue money” is to spend it in the way which maximizes the number of lives saved with the least sacrifice of other objectives. Lives are lives and the extra money spent rescuing identified persons might be better spent on safety measures that would save more lives. This, of course, is simply </w:t>
      </w:r>
      <w:r w:rsidRPr="00DC73DF">
        <w:rPr>
          <w:rFonts w:asciiTheme="minorHAnsi" w:hAnsiTheme="minorHAnsi"/>
          <w:iCs/>
        </w:rPr>
        <w:lastRenderedPageBreak/>
        <w:t>an application of the standard argument for cost-justified precaution to the special case of rescues.</w:t>
      </w:r>
      <w:bookmarkStart w:id="19" w:name="_Ref510199064"/>
      <w:r w:rsidRPr="00DC73DF">
        <w:rPr>
          <w:rFonts w:asciiTheme="minorHAnsi" w:hAnsiTheme="minorHAnsi"/>
          <w:iCs/>
          <w:vertAlign w:val="superscript"/>
        </w:rPr>
        <w:footnoteReference w:id="67"/>
      </w:r>
      <w:bookmarkEnd w:id="19"/>
      <w:r w:rsidRPr="00DC73DF">
        <w:rPr>
          <w:rFonts w:asciiTheme="minorHAnsi" w:hAnsiTheme="minorHAnsi"/>
          <w:iCs/>
        </w:rPr>
        <w:t xml:space="preserve"> When actual lives are endangered, however, we think it would be unseemly, and probably morally wrong, to undertake a cost-benefit analysis of the value of the lives at stake and the cost of saving them. We rescue the victims if we can, and rescuers often take great risks upon themselves in the course of rescues and attempted rescues.</w:t>
      </w:r>
      <w:r w:rsidRPr="00DC73DF">
        <w:rPr>
          <w:rFonts w:asciiTheme="minorHAnsi" w:hAnsiTheme="minorHAnsi"/>
          <w:iCs/>
          <w:vertAlign w:val="superscript"/>
        </w:rPr>
        <w:footnoteReference w:id="68"/>
      </w:r>
      <w:r w:rsidRPr="00DC73DF">
        <w:rPr>
          <w:rFonts w:asciiTheme="minorHAnsi" w:hAnsiTheme="minorHAnsi"/>
          <w:iCs/>
        </w:rPr>
        <w:t xml:space="preserve"> Generally speaking, our rescue practices appear to be governed by a norm of feasibility not by a norm of efficiency. A particularly striking case in point is the military tradition of undertaking rescues to recover the </w:t>
      </w:r>
      <w:r w:rsidRPr="00DC73DF">
        <w:rPr>
          <w:rFonts w:asciiTheme="minorHAnsi" w:hAnsiTheme="minorHAnsi"/>
          <w:i/>
          <w:iCs/>
        </w:rPr>
        <w:t>corpses</w:t>
      </w:r>
      <w:r w:rsidRPr="00DC73DF">
        <w:rPr>
          <w:rFonts w:asciiTheme="minorHAnsi" w:hAnsiTheme="minorHAnsi"/>
          <w:iCs/>
        </w:rPr>
        <w:t xml:space="preserve"> of slain soldiers. In the introduction to his book on the American war in Vietnam, Philip Caputo observed: </w:t>
      </w:r>
    </w:p>
    <w:p w14:paraId="118FD1B8" w14:textId="1A2E318A" w:rsidR="00DC73DF" w:rsidRPr="00DC73DF" w:rsidRDefault="00DC73DF" w:rsidP="0033568D">
      <w:pPr>
        <w:ind w:left="720" w:firstLine="0"/>
        <w:jc w:val="both"/>
        <w:rPr>
          <w:rFonts w:asciiTheme="minorHAnsi" w:hAnsiTheme="minorHAnsi"/>
          <w:iCs/>
        </w:rPr>
      </w:pPr>
      <w:r w:rsidRPr="00DC73DF">
        <w:rPr>
          <w:rFonts w:asciiTheme="minorHAnsi" w:hAnsiTheme="minorHAnsi"/>
          <w:iCs/>
        </w:rPr>
        <w:t>Two friends of mine died trying to save the corpses of their men from the battlefield. Such devotion, simple and selfless, the sentiment of belonging to each other, was the one decent thing in a conflict noted for its monstrosities.</w:t>
      </w:r>
      <w:r w:rsidRPr="00DC73DF">
        <w:rPr>
          <w:rFonts w:asciiTheme="minorHAnsi" w:hAnsiTheme="minorHAnsi"/>
          <w:iCs/>
          <w:vertAlign w:val="superscript"/>
        </w:rPr>
        <w:footnoteReference w:id="69"/>
      </w:r>
    </w:p>
    <w:p w14:paraId="5B75EA04" w14:textId="7EFB95C4" w:rsidR="00DC73DF" w:rsidRPr="00DC73DF" w:rsidRDefault="00DC73DF" w:rsidP="002D5108">
      <w:pPr>
        <w:ind w:firstLine="0"/>
        <w:jc w:val="both"/>
        <w:rPr>
          <w:rFonts w:asciiTheme="minorHAnsi" w:hAnsiTheme="minorHAnsi"/>
          <w:iCs/>
        </w:rPr>
      </w:pPr>
      <w:r w:rsidRPr="00DC73DF">
        <w:rPr>
          <w:rFonts w:asciiTheme="minorHAnsi" w:hAnsiTheme="minorHAnsi"/>
          <w:iCs/>
        </w:rPr>
        <w:t xml:space="preserve">It is hard to believe that the actions Caputo so admires were cost-justified. Losing a life to save a corpse seems like a bad trade. But it also seems correct to say that the economic mind set of cost-benefit analysis is out of place here. There is something morally grotesque about trying to figure out if losing one’s life trying to rescue a corpse is a potential Pareto-improvement or not. Rescuing the bodies of one’s fallen comrades is about solidarity and sacrifice, not about improving one’s own welfare. It is about the realization of values taken to be of paramount importance. Therein lies its rationality. </w:t>
      </w:r>
    </w:p>
    <w:p w14:paraId="65548286" w14:textId="73BF2233" w:rsidR="00DC73DF" w:rsidRPr="00DC73DF" w:rsidRDefault="00DC73DF" w:rsidP="00DC73DF">
      <w:pPr>
        <w:ind w:firstLine="0"/>
        <w:jc w:val="both"/>
        <w:rPr>
          <w:rFonts w:asciiTheme="minorHAnsi" w:hAnsiTheme="minorHAnsi"/>
          <w:iCs/>
        </w:rPr>
      </w:pPr>
      <w:r w:rsidRPr="00DC73DF">
        <w:rPr>
          <w:rFonts w:asciiTheme="minorHAnsi" w:hAnsiTheme="minorHAnsi"/>
          <w:iCs/>
        </w:rPr>
        <w:t>The rescue of corpses on the battlefield is, of course, an extreme example, but it teaches important lessons about less extreme cases. For one thing, all rescues involve the affirmation of a common value. Solidarity is</w:t>
      </w:r>
      <w:r w:rsidR="007570A1">
        <w:rPr>
          <w:rFonts w:asciiTheme="minorHAnsi" w:hAnsiTheme="minorHAnsi"/>
          <w:iCs/>
        </w:rPr>
        <w:t xml:space="preserve"> the </w:t>
      </w:r>
      <w:r w:rsidRPr="00DC73DF">
        <w:rPr>
          <w:rFonts w:asciiTheme="minorHAnsi" w:hAnsiTheme="minorHAnsi"/>
          <w:iCs/>
        </w:rPr>
        <w:t xml:space="preserve">word—and the value—that comes to mind. The plight of trapped miners differs from the plight of fallen comrades, but it too implicates solidarity. We are all vulnerable to accidents and premature death. Honoring the value of solidarity does not deny the value of efficiency; it merely asserts that solidarity matters more in the general context of rescues. In the very special context of the military, solidarity is even more important. The goods intrinsic to military excellence can only be realized if solidarity is valued very highly. There is nothing irrational about this. It is eminently rational </w:t>
      </w:r>
      <w:r w:rsidRPr="00DC73DF">
        <w:rPr>
          <w:rFonts w:asciiTheme="minorHAnsi" w:hAnsiTheme="minorHAnsi"/>
          <w:iCs/>
        </w:rPr>
        <w:lastRenderedPageBreak/>
        <w:t xml:space="preserve">to believe that some very valuable human goods cannot be realized unless we recognize that “no man is an island,” and when the bell tolls for one of us, it tolls for all of us. </w:t>
      </w:r>
    </w:p>
    <w:p w14:paraId="4C60153C" w14:textId="1148AA15" w:rsidR="00DC73DF" w:rsidRPr="00DC73DF" w:rsidRDefault="00DC73DF" w:rsidP="00DC73DF">
      <w:pPr>
        <w:jc w:val="both"/>
        <w:rPr>
          <w:rFonts w:asciiTheme="minorHAnsi" w:hAnsiTheme="minorHAnsi"/>
          <w:iCs/>
        </w:rPr>
      </w:pPr>
      <w:r w:rsidRPr="00DC73DF">
        <w:rPr>
          <w:rFonts w:asciiTheme="minorHAnsi" w:hAnsiTheme="minorHAnsi"/>
          <w:iCs/>
        </w:rPr>
        <w:t xml:space="preserve"> It is, no doubt, romantic to extend the ideal of solidarity from the battlefield to the ordinary workplace, but it is also a mistake not to recognize that even military rescues are governed by a standard of feasibility. It is heroic to attempt to recover the bodies of your fallen comrades only if there is some chance of succeeding. Without that possibility, an attempted rescue may be foolish or tragic (or both), but it is not noble or heroic. Rescue is governed by a norm of possibility. </w:t>
      </w:r>
    </w:p>
    <w:p w14:paraId="1D1B8886" w14:textId="77777777" w:rsidR="00DC73DF" w:rsidRPr="00DC73DF" w:rsidRDefault="00DC73DF" w:rsidP="00DC73DF">
      <w:pPr>
        <w:numPr>
          <w:ilvl w:val="0"/>
          <w:numId w:val="36"/>
        </w:numPr>
        <w:jc w:val="both"/>
        <w:rPr>
          <w:rFonts w:asciiTheme="minorHAnsi" w:hAnsiTheme="minorHAnsi"/>
          <w:iCs/>
          <w:u w:val="single"/>
        </w:rPr>
      </w:pPr>
      <w:r w:rsidRPr="00DC73DF">
        <w:rPr>
          <w:rFonts w:asciiTheme="minorHAnsi" w:hAnsiTheme="minorHAnsi"/>
          <w:iCs/>
          <w:u w:val="single"/>
        </w:rPr>
        <w:t>Cost-Justification and Commensurability: Private Necessity</w:t>
      </w:r>
    </w:p>
    <w:p w14:paraId="2B8159C6" w14:textId="685DCE1C" w:rsidR="00DC73DF" w:rsidRPr="00DC73DF" w:rsidRDefault="00DC73DF" w:rsidP="00DC73DF">
      <w:pPr>
        <w:jc w:val="both"/>
        <w:rPr>
          <w:rFonts w:asciiTheme="minorHAnsi" w:hAnsiTheme="minorHAnsi"/>
          <w:iCs/>
        </w:rPr>
      </w:pPr>
      <w:r w:rsidRPr="00DC73DF">
        <w:rPr>
          <w:rFonts w:asciiTheme="minorHAnsi" w:hAnsiTheme="minorHAnsi"/>
          <w:iCs/>
        </w:rPr>
        <w:t xml:space="preserve">The flip side of the coin that cost-justified precaution is </w:t>
      </w:r>
      <w:r w:rsidRPr="00DC73DF">
        <w:rPr>
          <w:rFonts w:asciiTheme="minorHAnsi" w:hAnsiTheme="minorHAnsi"/>
          <w:i/>
          <w:iCs/>
        </w:rPr>
        <w:t>not</w:t>
      </w:r>
      <w:r w:rsidRPr="00DC73DF">
        <w:rPr>
          <w:rFonts w:asciiTheme="minorHAnsi" w:hAnsiTheme="minorHAnsi"/>
          <w:iCs/>
        </w:rPr>
        <w:t xml:space="preserve"> the proper principle for regulating serious harms to persons is that the criterion of cost-justification </w:t>
      </w:r>
      <w:r w:rsidRPr="00DC73DF">
        <w:rPr>
          <w:rFonts w:asciiTheme="minorHAnsi" w:hAnsiTheme="minorHAnsi"/>
          <w:i/>
          <w:iCs/>
        </w:rPr>
        <w:t>is</w:t>
      </w:r>
      <w:r w:rsidRPr="00DC73DF">
        <w:rPr>
          <w:rFonts w:asciiTheme="minorHAnsi" w:hAnsiTheme="minorHAnsi"/>
          <w:iCs/>
        </w:rPr>
        <w:t xml:space="preserve"> a proper criterion for regulating harm to goods which are fungible and replaceable. The doctrine of private necessity, articulated in the famous case of </w:t>
      </w:r>
      <w:r w:rsidRPr="00DC73DF">
        <w:rPr>
          <w:rFonts w:asciiTheme="minorHAnsi" w:hAnsiTheme="minorHAnsi"/>
          <w:i/>
          <w:iCs/>
        </w:rPr>
        <w:t>Vincent v. Lake Erie</w:t>
      </w:r>
      <w:r w:rsidRPr="00DC73DF">
        <w:rPr>
          <w:rFonts w:asciiTheme="minorHAnsi" w:hAnsiTheme="minorHAnsi"/>
          <w:iCs/>
        </w:rPr>
        <w:t>, illustrates this point nicely.</w:t>
      </w:r>
      <w:r w:rsidRPr="00DC73DF">
        <w:rPr>
          <w:rFonts w:asciiTheme="minorHAnsi" w:hAnsiTheme="minorHAnsi"/>
          <w:iCs/>
          <w:vertAlign w:val="superscript"/>
        </w:rPr>
        <w:footnoteReference w:id="70"/>
      </w:r>
      <w:r w:rsidRPr="00DC73DF">
        <w:rPr>
          <w:rFonts w:asciiTheme="minorHAnsi" w:hAnsiTheme="minorHAnsi"/>
          <w:iCs/>
        </w:rPr>
        <w:t xml:space="preserve"> There are two issues in </w:t>
      </w:r>
      <w:r w:rsidRPr="00DC73DF">
        <w:rPr>
          <w:rFonts w:asciiTheme="minorHAnsi" w:hAnsiTheme="minorHAnsi"/>
          <w:i/>
          <w:iCs/>
        </w:rPr>
        <w:t>Vincent</w:t>
      </w:r>
      <w:r w:rsidRPr="00DC73DF">
        <w:rPr>
          <w:rFonts w:asciiTheme="minorHAnsi" w:hAnsiTheme="minorHAnsi"/>
          <w:iCs/>
        </w:rPr>
        <w:t xml:space="preserve">. The first is whether the ship owner should be given a privilege to tie up at the plaintiff’s dock in order to avoid near certain destruction at the hands of a sudden and fierce winter storm. The second is whether such a privilege should be conditional. If the privilege is conditional, the defendant must make good any harm that it does to plaintiff’s dock in the course of saving its ship. The court answers both questions affirmatively. </w:t>
      </w:r>
    </w:p>
    <w:p w14:paraId="52DBC012" w14:textId="068FF66B" w:rsidR="00DC73DF" w:rsidRPr="00DC73DF" w:rsidRDefault="00DC73DF" w:rsidP="00DC73DF">
      <w:pPr>
        <w:jc w:val="both"/>
        <w:rPr>
          <w:rFonts w:asciiTheme="minorHAnsi" w:hAnsiTheme="minorHAnsi"/>
          <w:iCs/>
        </w:rPr>
      </w:pPr>
      <w:r w:rsidRPr="00DC73DF">
        <w:rPr>
          <w:rFonts w:asciiTheme="minorHAnsi" w:hAnsiTheme="minorHAnsi"/>
          <w:i/>
          <w:iCs/>
        </w:rPr>
        <w:t>Vincent</w:t>
      </w:r>
      <w:r w:rsidRPr="00DC73DF">
        <w:rPr>
          <w:rFonts w:asciiTheme="minorHAnsi" w:hAnsiTheme="minorHAnsi"/>
          <w:iCs/>
        </w:rPr>
        <w:t xml:space="preserve"> is a case where efficient precaution is the proper standard of precaution. The dock and the ship are fungible pieces of property. Their value is their use or consumption value. Moreover, the metric of money is well-suited to measuring both the damage done by bashing the dock and the damage avoided by keeping the ship out of the storm. The rational course of action in </w:t>
      </w:r>
      <w:r w:rsidRPr="00DC73DF">
        <w:rPr>
          <w:rFonts w:asciiTheme="minorHAnsi" w:hAnsiTheme="minorHAnsi"/>
          <w:i/>
          <w:iCs/>
        </w:rPr>
        <w:t>Vincent</w:t>
      </w:r>
      <w:r w:rsidRPr="00DC73DF">
        <w:rPr>
          <w:rFonts w:asciiTheme="minorHAnsi" w:hAnsiTheme="minorHAnsi"/>
          <w:iCs/>
        </w:rPr>
        <w:t xml:space="preserve"> is to minimize combined harm and maximize combined benefit. Additionally, the question of who should bear the cost of the ship’s salvation—the ship owner or the dock owner—can be addressed after the harm has been done. The court concluded (rightly, I think) that fairness required the ship owner to bear the costs of its ship’s salvation. That fair distribution could be effected after the dock was damaged simply by requiring the defendant to pay appropriate money damages to the plaintiff. </w:t>
      </w:r>
      <w:r w:rsidR="00BE39F0">
        <w:rPr>
          <w:rFonts w:asciiTheme="minorHAnsi" w:hAnsiTheme="minorHAnsi"/>
          <w:iCs/>
        </w:rPr>
        <w:t xml:space="preserve">Matters </w:t>
      </w:r>
      <w:r w:rsidRPr="00DC73DF">
        <w:rPr>
          <w:rFonts w:asciiTheme="minorHAnsi" w:hAnsiTheme="minorHAnsi"/>
          <w:iCs/>
        </w:rPr>
        <w:t xml:space="preserve">are different when serious harm to persons is involved because such harm is not fully repairable. Fairness must be done </w:t>
      </w:r>
      <w:r w:rsidRPr="00DC73DF">
        <w:rPr>
          <w:rFonts w:asciiTheme="minorHAnsi" w:hAnsiTheme="minorHAnsi"/>
          <w:i/>
          <w:iCs/>
        </w:rPr>
        <w:t>ex ante</w:t>
      </w:r>
      <w:r w:rsidRPr="00DC73DF">
        <w:rPr>
          <w:rFonts w:asciiTheme="minorHAnsi" w:hAnsiTheme="minorHAnsi"/>
          <w:iCs/>
        </w:rPr>
        <w:t xml:space="preserve">. </w:t>
      </w:r>
    </w:p>
    <w:p w14:paraId="563E48C9" w14:textId="5BED0BF6" w:rsidR="003127E1" w:rsidRDefault="00DC73DF" w:rsidP="00DC73DF">
      <w:pPr>
        <w:jc w:val="both"/>
        <w:rPr>
          <w:rFonts w:asciiTheme="minorHAnsi" w:hAnsiTheme="minorHAnsi"/>
          <w:iCs/>
        </w:rPr>
      </w:pPr>
      <w:r w:rsidRPr="00DC73DF">
        <w:rPr>
          <w:rFonts w:asciiTheme="minorHAnsi" w:hAnsiTheme="minorHAnsi"/>
          <w:iCs/>
        </w:rPr>
        <w:t xml:space="preserve">The standards applied in these examples value the avoidance of harm differently. The application of the consumer-expectation test to latex gloves in </w:t>
      </w:r>
      <w:r w:rsidRPr="00DC73DF">
        <w:rPr>
          <w:rFonts w:asciiTheme="minorHAnsi" w:hAnsiTheme="minorHAnsi"/>
          <w:i/>
          <w:iCs/>
        </w:rPr>
        <w:t>Green</w:t>
      </w:r>
      <w:r w:rsidRPr="00DC73DF">
        <w:rPr>
          <w:rFonts w:asciiTheme="minorHAnsi" w:hAnsiTheme="minorHAnsi"/>
          <w:iCs/>
        </w:rPr>
        <w:t xml:space="preserve"> is the most stringent. </w:t>
      </w:r>
      <w:r w:rsidRPr="00DC73DF">
        <w:rPr>
          <w:rFonts w:asciiTheme="minorHAnsi" w:hAnsiTheme="minorHAnsi"/>
          <w:i/>
          <w:iCs/>
        </w:rPr>
        <w:t>Significant</w:t>
      </w:r>
      <w:r w:rsidRPr="00DC73DF">
        <w:rPr>
          <w:rFonts w:asciiTheme="minorHAnsi" w:hAnsiTheme="minorHAnsi"/>
          <w:iCs/>
        </w:rPr>
        <w:t xml:space="preserve"> risk of harm to normal users is unacceptable. Latex gloves are defective because they precipitate severe allergic reactions in a significant number of users. By contrast, the basic commitment of the feasibility standard in rescue cases is </w:t>
      </w:r>
      <w:r w:rsidR="00BE39F0">
        <w:rPr>
          <w:rFonts w:asciiTheme="minorHAnsi" w:hAnsiTheme="minorHAnsi"/>
          <w:iCs/>
        </w:rPr>
        <w:t>“</w:t>
      </w:r>
      <w:r w:rsidRPr="00DC73DF">
        <w:rPr>
          <w:rFonts w:asciiTheme="minorHAnsi" w:hAnsiTheme="minorHAnsi"/>
          <w:iCs/>
        </w:rPr>
        <w:t>save life if it is possible to do so</w:t>
      </w:r>
      <w:r w:rsidR="00364E2B">
        <w:rPr>
          <w:rFonts w:asciiTheme="minorHAnsi" w:hAnsiTheme="minorHAnsi"/>
          <w:iCs/>
        </w:rPr>
        <w:t>.</w:t>
      </w:r>
      <w:r w:rsidR="00BE39F0">
        <w:rPr>
          <w:rFonts w:asciiTheme="minorHAnsi" w:hAnsiTheme="minorHAnsi"/>
          <w:iCs/>
        </w:rPr>
        <w:t>”</w:t>
      </w:r>
      <w:r w:rsidRPr="00DC73DF">
        <w:rPr>
          <w:rFonts w:asciiTheme="minorHAnsi" w:hAnsiTheme="minorHAnsi"/>
          <w:iCs/>
        </w:rPr>
        <w:t xml:space="preserve"> The norm of cost-justification, implicit in </w:t>
      </w:r>
      <w:r w:rsidRPr="00DC73DF">
        <w:rPr>
          <w:rFonts w:asciiTheme="minorHAnsi" w:hAnsiTheme="minorHAnsi"/>
          <w:i/>
          <w:iCs/>
        </w:rPr>
        <w:t>Vincent</w:t>
      </w:r>
      <w:r w:rsidRPr="00DC73DF">
        <w:rPr>
          <w:rFonts w:asciiTheme="minorHAnsi" w:hAnsiTheme="minorHAnsi"/>
          <w:iCs/>
        </w:rPr>
        <w:t>, assigns no priority to avoiding harm. It trades harm off against other goods in a way which maximizes net benefit. In short, the safety standard insists on the lowest level of risk; the cost-justification standard accepts the highest level; and the feasibility standard falls in the middle. None of the standards insists on absolute safety. All three standards specify permissible tradeoffs. They vary significantly, however, in the tradeoffs that they license</w:t>
      </w:r>
      <w:r w:rsidR="00C743E3">
        <w:rPr>
          <w:rFonts w:asciiTheme="minorHAnsi" w:hAnsiTheme="minorHAnsi"/>
          <w:iCs/>
        </w:rPr>
        <w:t>.</w:t>
      </w:r>
    </w:p>
    <w:p w14:paraId="6F635C12" w14:textId="77777777" w:rsidR="00C743E3" w:rsidRDefault="00C743E3" w:rsidP="00DC73DF">
      <w:pPr>
        <w:jc w:val="both"/>
        <w:rPr>
          <w:rFonts w:asciiTheme="minorHAnsi" w:hAnsiTheme="minorHAnsi"/>
          <w:b/>
          <w:bCs/>
          <w:smallCaps/>
          <w:sz w:val="28"/>
        </w:rPr>
      </w:pPr>
    </w:p>
    <w:p w14:paraId="5BFF1576" w14:textId="3BB73482" w:rsidR="00B92DF9" w:rsidRPr="00D028E6" w:rsidRDefault="003127E1" w:rsidP="00D028E6">
      <w:pPr>
        <w:ind w:left="1260" w:hanging="720"/>
        <w:jc w:val="both"/>
        <w:rPr>
          <w:rFonts w:asciiTheme="minorHAnsi" w:hAnsiTheme="minorHAnsi"/>
          <w:sz w:val="26"/>
          <w:szCs w:val="26"/>
        </w:rPr>
      </w:pPr>
      <w:r w:rsidRPr="00D028E6">
        <w:rPr>
          <w:rFonts w:asciiTheme="minorHAnsi" w:hAnsiTheme="minorHAnsi"/>
          <w:b/>
          <w:bCs/>
          <w:sz w:val="26"/>
          <w:szCs w:val="26"/>
        </w:rPr>
        <w:lastRenderedPageBreak/>
        <w:t>IV.</w:t>
      </w:r>
      <w:r w:rsidRPr="00D028E6">
        <w:rPr>
          <w:rFonts w:asciiTheme="minorHAnsi" w:hAnsiTheme="minorHAnsi"/>
          <w:b/>
          <w:bCs/>
          <w:sz w:val="26"/>
          <w:szCs w:val="26"/>
        </w:rPr>
        <w:tab/>
      </w:r>
      <w:r w:rsidR="00C743E3">
        <w:rPr>
          <w:rFonts w:asciiTheme="minorHAnsi" w:hAnsiTheme="minorHAnsi"/>
          <w:b/>
          <w:bCs/>
          <w:sz w:val="26"/>
          <w:szCs w:val="26"/>
        </w:rPr>
        <w:t>Repairing the Law of Torts</w:t>
      </w:r>
      <w:bookmarkStart w:id="20" w:name="_Hlk49674006"/>
    </w:p>
    <w:bookmarkEnd w:id="20"/>
    <w:p w14:paraId="495F1929" w14:textId="675FD7A6" w:rsidR="00C743E3" w:rsidRPr="00C743E3" w:rsidRDefault="006A5584" w:rsidP="00C743E3">
      <w:pPr>
        <w:autoSpaceDE w:val="0"/>
        <w:autoSpaceDN w:val="0"/>
        <w:adjustRightInd w:val="0"/>
        <w:jc w:val="both"/>
        <w:rPr>
          <w:rFonts w:ascii="Garamond" w:hAnsi="Garamond"/>
          <w:color w:val="000000"/>
        </w:rPr>
      </w:pPr>
      <w:r w:rsidRPr="006A5584">
        <w:rPr>
          <w:rFonts w:ascii="Garamond" w:hAnsi="Garamond"/>
          <w:color w:val="000000"/>
        </w:rPr>
        <w:t>Taking the distinction between persons and the priority of avoiding harm seriously</w:t>
      </w:r>
      <w:r w:rsidR="00343BA9">
        <w:rPr>
          <w:rFonts w:ascii="Garamond" w:hAnsi="Garamond"/>
          <w:color w:val="000000"/>
        </w:rPr>
        <w:t>—</w:t>
      </w:r>
      <w:r>
        <w:rPr>
          <w:rFonts w:ascii="Garamond" w:hAnsi="Garamond"/>
          <w:color w:val="000000"/>
        </w:rPr>
        <w:t>and situating them within the larger philosophical framework where they are at home</w:t>
      </w:r>
      <w:r w:rsidR="00343BA9">
        <w:rPr>
          <w:rFonts w:ascii="Garamond" w:hAnsi="Garamond"/>
          <w:color w:val="000000"/>
        </w:rPr>
        <w:t>—</w:t>
      </w:r>
      <w:r>
        <w:rPr>
          <w:rFonts w:ascii="Garamond" w:hAnsi="Garamond"/>
          <w:color w:val="000000"/>
        </w:rPr>
        <w:t xml:space="preserve">puts us in a position to understand the logic at work in the safety and feasibility norms. Health </w:t>
      </w:r>
      <w:r w:rsidRPr="006A5584">
        <w:rPr>
          <w:rFonts w:ascii="Garamond" w:hAnsi="Garamond"/>
          <w:color w:val="000000"/>
        </w:rPr>
        <w:t>and physical integrity a</w:t>
      </w:r>
      <w:r>
        <w:rPr>
          <w:rFonts w:ascii="Garamond" w:hAnsi="Garamond"/>
          <w:color w:val="000000"/>
        </w:rPr>
        <w:t xml:space="preserve">re </w:t>
      </w:r>
      <w:r w:rsidRPr="006A5584">
        <w:rPr>
          <w:rFonts w:ascii="Garamond" w:hAnsi="Garamond"/>
          <w:color w:val="000000"/>
        </w:rPr>
        <w:t>kinds of primary goods</w:t>
      </w:r>
      <w:r>
        <w:rPr>
          <w:rFonts w:ascii="Garamond" w:hAnsi="Garamond"/>
          <w:color w:val="000000"/>
        </w:rPr>
        <w:t xml:space="preserve">. </w:t>
      </w:r>
      <w:r w:rsidR="008B04E3">
        <w:rPr>
          <w:rFonts w:ascii="Garamond" w:hAnsi="Garamond"/>
          <w:color w:val="000000"/>
        </w:rPr>
        <w:t xml:space="preserve">Safety secures the physical integrity of the person against harm. </w:t>
      </w:r>
      <w:r>
        <w:rPr>
          <w:rFonts w:ascii="Garamond" w:hAnsi="Garamond"/>
          <w:color w:val="000000"/>
        </w:rPr>
        <w:t xml:space="preserve">Values, for their part, are </w:t>
      </w:r>
      <w:r w:rsidRPr="006A5584">
        <w:rPr>
          <w:rFonts w:ascii="Garamond" w:hAnsi="Garamond"/>
          <w:color w:val="000000"/>
        </w:rPr>
        <w:t>plural and incommensurable. The point of protecting the essential conditions of agency for each person</w:t>
      </w:r>
      <w:r w:rsidR="00790D0A">
        <w:rPr>
          <w:rFonts w:ascii="Garamond" w:hAnsi="Garamond"/>
          <w:color w:val="000000"/>
        </w:rPr>
        <w:t xml:space="preserve"> </w:t>
      </w:r>
      <w:r w:rsidRPr="006A5584">
        <w:rPr>
          <w:rFonts w:ascii="Garamond" w:hAnsi="Garamond"/>
          <w:color w:val="000000"/>
        </w:rPr>
        <w:t xml:space="preserve">is to enable people to shape their own lives in accordance with their aspirations. Within a framework that prioritizes the protection of each person’s essential interests, </w:t>
      </w:r>
      <w:r w:rsidR="008B04E3" w:rsidRPr="008B04E3">
        <w:rPr>
          <w:rFonts w:ascii="Garamond" w:hAnsi="Garamond"/>
          <w:color w:val="000000"/>
        </w:rPr>
        <w:t>the attraction of the “safety” norm is evident enough. Just as efficient precaution is the first-best standard of precaution f</w:t>
      </w:r>
      <w:r w:rsidR="00336224">
        <w:rPr>
          <w:rFonts w:ascii="Garamond" w:hAnsi="Garamond"/>
          <w:color w:val="000000"/>
        </w:rPr>
        <w:t xml:space="preserve">rom the point of view of </w:t>
      </w:r>
      <w:r w:rsidR="008B04E3" w:rsidRPr="008B04E3">
        <w:rPr>
          <w:rFonts w:ascii="Garamond" w:hAnsi="Garamond"/>
          <w:color w:val="000000"/>
        </w:rPr>
        <w:t>economic theory, “safety” is the first-best standard of precaution f</w:t>
      </w:r>
      <w:r w:rsidR="00336224">
        <w:rPr>
          <w:rFonts w:ascii="Garamond" w:hAnsi="Garamond"/>
          <w:color w:val="000000"/>
        </w:rPr>
        <w:t xml:space="preserve">rom the point of view of a deontological political morality that seeks to establish the terms of fair interaction for equal, independent persons with separate lives to lead and diverse ends to pursue. </w:t>
      </w:r>
      <w:r w:rsidR="00B71E43">
        <w:rPr>
          <w:rFonts w:ascii="Garamond" w:hAnsi="Garamond"/>
          <w:color w:val="000000"/>
        </w:rPr>
        <w:t xml:space="preserve">Safety, </w:t>
      </w:r>
      <w:r w:rsidR="00B71E43" w:rsidRPr="00B71E43">
        <w:rPr>
          <w:rFonts w:ascii="Garamond" w:hAnsi="Garamond"/>
          <w:color w:val="000000"/>
        </w:rPr>
        <w:t>like health, is a precondition of effective agency</w:t>
      </w:r>
      <w:r w:rsidR="00362EC7">
        <w:rPr>
          <w:rFonts w:ascii="Garamond" w:hAnsi="Garamond"/>
          <w:color w:val="000000"/>
        </w:rPr>
        <w:t>,</w:t>
      </w:r>
      <w:r w:rsidR="00B71E43" w:rsidRPr="00B71E43">
        <w:rPr>
          <w:rFonts w:ascii="Garamond" w:hAnsi="Garamond"/>
          <w:color w:val="000000"/>
        </w:rPr>
        <w:t xml:space="preserve"> and the best social world is a social world </w:t>
      </w:r>
      <w:r w:rsidR="00362EC7">
        <w:rPr>
          <w:rFonts w:ascii="Garamond" w:hAnsi="Garamond"/>
          <w:color w:val="000000"/>
        </w:rPr>
        <w:t>that</w:t>
      </w:r>
      <w:r w:rsidR="00B71E43" w:rsidRPr="00B71E43">
        <w:rPr>
          <w:rFonts w:ascii="Garamond" w:hAnsi="Garamond"/>
          <w:color w:val="000000"/>
        </w:rPr>
        <w:t xml:space="preserve"> is safe for everyone. </w:t>
      </w:r>
      <w:r w:rsidR="00C743E3">
        <w:rPr>
          <w:rFonts w:ascii="Garamond" w:hAnsi="Garamond"/>
          <w:color w:val="000000"/>
        </w:rPr>
        <w:t xml:space="preserve">The “safety” and “feasibility” standards are </w:t>
      </w:r>
      <w:r w:rsidR="00902BCF">
        <w:rPr>
          <w:rFonts w:ascii="Garamond" w:hAnsi="Garamond"/>
          <w:color w:val="000000"/>
        </w:rPr>
        <w:t xml:space="preserve">thus </w:t>
      </w:r>
      <w:r w:rsidR="00C743E3">
        <w:rPr>
          <w:rFonts w:ascii="Garamond" w:hAnsi="Garamond"/>
          <w:color w:val="000000"/>
        </w:rPr>
        <w:t>justified alternatives to efficient precaution. Cost-</w:t>
      </w:r>
      <w:r w:rsidR="00902BCF">
        <w:rPr>
          <w:rFonts w:ascii="Garamond" w:hAnsi="Garamond"/>
          <w:color w:val="000000"/>
        </w:rPr>
        <w:t xml:space="preserve">justified precaution </w:t>
      </w:r>
      <w:r w:rsidR="00C743E3">
        <w:rPr>
          <w:rFonts w:ascii="Garamond" w:hAnsi="Garamond"/>
          <w:color w:val="000000"/>
        </w:rPr>
        <w:t xml:space="preserve">goes awry both in treating harms and benefits as symmetrically important, and in modeling </w:t>
      </w:r>
      <w:r w:rsidR="00C743E3" w:rsidRPr="00C743E3">
        <w:rPr>
          <w:rFonts w:ascii="Garamond" w:hAnsi="Garamond"/>
          <w:color w:val="000000"/>
        </w:rPr>
        <w:t xml:space="preserve">social choice on individual choice. </w:t>
      </w:r>
      <w:r w:rsidR="00902BCF" w:rsidRPr="00902BCF">
        <w:rPr>
          <w:rFonts w:ascii="Garamond" w:hAnsi="Garamond"/>
          <w:color w:val="000000"/>
        </w:rPr>
        <w:t>When physical harm is at issue, treating costs and benefits as symmetrically important fails to register the fact that physical harm impairs basic powers of agency. Most benefits, by contrast, do not comparably enhance those powers.</w:t>
      </w:r>
      <w:r w:rsidR="00902BCF">
        <w:rPr>
          <w:rFonts w:ascii="Garamond" w:hAnsi="Garamond"/>
          <w:color w:val="000000"/>
        </w:rPr>
        <w:t xml:space="preserve"> And, w</w:t>
      </w:r>
      <w:r w:rsidR="00C743E3" w:rsidRPr="00C743E3">
        <w:rPr>
          <w:rFonts w:ascii="Garamond" w:hAnsi="Garamond"/>
          <w:color w:val="000000"/>
        </w:rPr>
        <w:t xml:space="preserve">hen some people have their lives devastated by harms issuing out of risk impositions—while others profit from the imposition of those very same risks—it is a mistake to model social choice on individual choice. We must take the distinction between persons seriously and adopt principles which are justifiable from the standpoints of both the potential victims and the potential beneficiaries of the </w:t>
      </w:r>
      <w:r w:rsidR="00902BCF">
        <w:rPr>
          <w:rFonts w:ascii="Garamond" w:hAnsi="Garamond"/>
          <w:color w:val="000000"/>
        </w:rPr>
        <w:t xml:space="preserve">risk impositions </w:t>
      </w:r>
      <w:r w:rsidR="00C743E3" w:rsidRPr="00C743E3">
        <w:rPr>
          <w:rFonts w:ascii="Garamond" w:hAnsi="Garamond"/>
          <w:color w:val="000000"/>
        </w:rPr>
        <w:t xml:space="preserve">in question. </w:t>
      </w:r>
    </w:p>
    <w:p w14:paraId="6D948669" w14:textId="578AEA72" w:rsidR="00850193" w:rsidRDefault="00BE39F0" w:rsidP="00EC12AB">
      <w:pPr>
        <w:autoSpaceDE w:val="0"/>
        <w:autoSpaceDN w:val="0"/>
        <w:adjustRightInd w:val="0"/>
        <w:jc w:val="both"/>
        <w:rPr>
          <w:rFonts w:ascii="Garamond" w:hAnsi="Garamond"/>
          <w:color w:val="000000"/>
        </w:rPr>
      </w:pPr>
      <w:r>
        <w:rPr>
          <w:rFonts w:ascii="Garamond" w:hAnsi="Garamond"/>
          <w:color w:val="000000"/>
        </w:rPr>
        <w:t>Direct regulation of risk</w:t>
      </w:r>
      <w:r w:rsidR="00902BCF">
        <w:rPr>
          <w:rFonts w:ascii="Garamond" w:hAnsi="Garamond"/>
          <w:color w:val="000000"/>
        </w:rPr>
        <w:t xml:space="preserve">, for its part, repairs a defect in the </w:t>
      </w:r>
      <w:r>
        <w:rPr>
          <w:rFonts w:ascii="Garamond" w:hAnsi="Garamond"/>
          <w:color w:val="000000"/>
        </w:rPr>
        <w:t>law of torts</w:t>
      </w:r>
      <w:r w:rsidR="00902BCF">
        <w:rPr>
          <w:rFonts w:ascii="Garamond" w:hAnsi="Garamond"/>
          <w:color w:val="000000"/>
        </w:rPr>
        <w:t>. Tort is a reparation system, but f</w:t>
      </w:r>
      <w:r w:rsidR="00336224">
        <w:rPr>
          <w:rFonts w:ascii="Garamond" w:hAnsi="Garamond"/>
          <w:color w:val="000000"/>
        </w:rPr>
        <w:t xml:space="preserve">ew </w:t>
      </w:r>
      <w:r w:rsidR="00C97C33">
        <w:rPr>
          <w:rFonts w:ascii="Garamond" w:hAnsi="Garamond"/>
          <w:color w:val="000000"/>
        </w:rPr>
        <w:t xml:space="preserve">serious </w:t>
      </w:r>
      <w:r w:rsidR="00336224">
        <w:rPr>
          <w:rFonts w:ascii="Garamond" w:hAnsi="Garamond"/>
          <w:color w:val="000000"/>
        </w:rPr>
        <w:t xml:space="preserve">harms can </w:t>
      </w:r>
      <w:r w:rsidR="00C97C33">
        <w:rPr>
          <w:rFonts w:ascii="Garamond" w:hAnsi="Garamond"/>
          <w:color w:val="000000"/>
        </w:rPr>
        <w:t xml:space="preserve">be fully repaired. </w:t>
      </w:r>
      <w:r w:rsidR="00902BCF">
        <w:rPr>
          <w:rFonts w:ascii="Garamond" w:hAnsi="Garamond"/>
          <w:color w:val="000000"/>
        </w:rPr>
        <w:t>Even when shattered limbs or lives heal</w:t>
      </w:r>
      <w:r w:rsidR="002F4AB7">
        <w:rPr>
          <w:rFonts w:ascii="Garamond" w:hAnsi="Garamond"/>
          <w:color w:val="000000"/>
        </w:rPr>
        <w:t xml:space="preserve"> as</w:t>
      </w:r>
      <w:r w:rsidR="00902BCF">
        <w:rPr>
          <w:rFonts w:ascii="Garamond" w:hAnsi="Garamond"/>
          <w:color w:val="000000"/>
        </w:rPr>
        <w:t xml:space="preserve"> fully </w:t>
      </w:r>
      <w:r w:rsidR="002F4AB7">
        <w:rPr>
          <w:rFonts w:ascii="Garamond" w:hAnsi="Garamond"/>
          <w:color w:val="000000"/>
        </w:rPr>
        <w:t xml:space="preserve">as possible </w:t>
      </w:r>
      <w:r w:rsidR="00C97C33">
        <w:rPr>
          <w:rFonts w:ascii="Garamond" w:hAnsi="Garamond"/>
          <w:color w:val="000000"/>
        </w:rPr>
        <w:t>“</w:t>
      </w:r>
      <w:r w:rsidR="00C97C33" w:rsidRPr="00C97C33">
        <w:rPr>
          <w:rFonts w:ascii="Garamond" w:hAnsi="Garamond"/>
          <w:color w:val="000000"/>
        </w:rPr>
        <w:t>there is almost always pain and inconvenience involved</w:t>
      </w:r>
      <w:r w:rsidR="00364E2B">
        <w:rPr>
          <w:rFonts w:ascii="Garamond" w:hAnsi="Garamond"/>
          <w:color w:val="000000"/>
        </w:rPr>
        <w:t>,</w:t>
      </w:r>
      <w:r w:rsidR="00C97C33">
        <w:rPr>
          <w:rFonts w:ascii="Garamond" w:hAnsi="Garamond"/>
          <w:color w:val="000000"/>
        </w:rPr>
        <w:t>” and we cannot either erase that pain and inconvenience or return them to the person responsible for their infliction.</w:t>
      </w:r>
      <w:r w:rsidR="00C97C33">
        <w:rPr>
          <w:rStyle w:val="FootnoteReference"/>
          <w:rFonts w:ascii="Garamond" w:hAnsi="Garamond"/>
          <w:color w:val="000000"/>
        </w:rPr>
        <w:footnoteReference w:id="71"/>
      </w:r>
      <w:r w:rsidR="0061617D">
        <w:rPr>
          <w:rFonts w:ascii="Garamond" w:hAnsi="Garamond"/>
          <w:color w:val="000000"/>
        </w:rPr>
        <w:t xml:space="preserve"> </w:t>
      </w:r>
      <w:r w:rsidR="00C97C33" w:rsidRPr="00C97C33">
        <w:rPr>
          <w:rFonts w:ascii="Garamond" w:hAnsi="Garamond"/>
          <w:color w:val="000000"/>
        </w:rPr>
        <w:t xml:space="preserve">The more serious the </w:t>
      </w:r>
      <w:r w:rsidR="0033568D">
        <w:rPr>
          <w:rFonts w:ascii="Garamond" w:hAnsi="Garamond"/>
          <w:color w:val="000000"/>
        </w:rPr>
        <w:t>harm</w:t>
      </w:r>
      <w:r w:rsidR="00C97C33" w:rsidRPr="00C97C33">
        <w:rPr>
          <w:rFonts w:ascii="Garamond" w:hAnsi="Garamond"/>
          <w:color w:val="000000"/>
        </w:rPr>
        <w:t xml:space="preserve">, the less that tort can do to </w:t>
      </w:r>
      <w:r w:rsidR="0033568D">
        <w:rPr>
          <w:rFonts w:ascii="Garamond" w:hAnsi="Garamond"/>
          <w:color w:val="000000"/>
        </w:rPr>
        <w:t xml:space="preserve">undo its effects. </w:t>
      </w:r>
      <w:r w:rsidR="0061617D">
        <w:rPr>
          <w:rFonts w:ascii="Garamond" w:hAnsi="Garamond"/>
          <w:color w:val="000000"/>
        </w:rPr>
        <w:t>No amount of money can restore a parent</w:t>
      </w:r>
      <w:r w:rsidR="0033568D">
        <w:rPr>
          <w:rFonts w:ascii="Garamond" w:hAnsi="Garamond"/>
          <w:color w:val="000000"/>
        </w:rPr>
        <w:t>—</w:t>
      </w:r>
      <w:r w:rsidR="0061617D">
        <w:rPr>
          <w:rFonts w:ascii="Garamond" w:hAnsi="Garamond"/>
          <w:color w:val="000000"/>
        </w:rPr>
        <w:t xml:space="preserve">shattered by witnessing the </w:t>
      </w:r>
      <w:r w:rsidR="0033568D">
        <w:rPr>
          <w:rFonts w:ascii="Garamond" w:hAnsi="Garamond"/>
          <w:color w:val="000000"/>
        </w:rPr>
        <w:t xml:space="preserve">negligent killing </w:t>
      </w:r>
      <w:r w:rsidR="0061617D">
        <w:rPr>
          <w:rFonts w:ascii="Garamond" w:hAnsi="Garamond"/>
          <w:color w:val="000000"/>
        </w:rPr>
        <w:t>of their child</w:t>
      </w:r>
      <w:r w:rsidR="0033568D">
        <w:rPr>
          <w:rFonts w:ascii="Garamond" w:hAnsi="Garamond"/>
          <w:color w:val="000000"/>
        </w:rPr>
        <w:t>—</w:t>
      </w:r>
      <w:r w:rsidR="0061617D">
        <w:rPr>
          <w:rFonts w:ascii="Garamond" w:hAnsi="Garamond"/>
          <w:color w:val="000000"/>
        </w:rPr>
        <w:t xml:space="preserve">to the </w:t>
      </w:r>
      <w:r w:rsidR="0033568D">
        <w:rPr>
          <w:rFonts w:ascii="Garamond" w:hAnsi="Garamond"/>
          <w:color w:val="000000"/>
        </w:rPr>
        <w:t>life that they once had</w:t>
      </w:r>
      <w:r w:rsidR="0061617D">
        <w:rPr>
          <w:rFonts w:ascii="Garamond" w:hAnsi="Garamond"/>
          <w:color w:val="000000"/>
        </w:rPr>
        <w:t>. Creative as the common law of torts is, it reaches the limits of its powers of repair when wrongful conduct results in death. Tort does not even attempt to compensate the victims of wrongful death for the value to them of the lives that they have lost. Compensation is simply impossible. And because tort does not propose to compensate</w:t>
      </w:r>
      <w:r w:rsidR="007777BD">
        <w:rPr>
          <w:rFonts w:ascii="Garamond" w:hAnsi="Garamond"/>
          <w:color w:val="000000"/>
        </w:rPr>
        <w:t>,</w:t>
      </w:r>
      <w:r w:rsidR="0061617D">
        <w:rPr>
          <w:rFonts w:ascii="Garamond" w:hAnsi="Garamond"/>
          <w:color w:val="000000"/>
        </w:rPr>
        <w:t xml:space="preserve"> it can</w:t>
      </w:r>
      <w:r w:rsidR="00ED471F">
        <w:rPr>
          <w:rFonts w:ascii="Garamond" w:hAnsi="Garamond"/>
          <w:color w:val="000000"/>
        </w:rPr>
        <w:t xml:space="preserve"> neither effect the deterrence that economics expects from it nor</w:t>
      </w:r>
      <w:r w:rsidR="0061617D">
        <w:rPr>
          <w:rFonts w:ascii="Garamond" w:hAnsi="Garamond"/>
          <w:color w:val="000000"/>
        </w:rPr>
        <w:t xml:space="preserve"> </w:t>
      </w:r>
      <w:r w:rsidR="00ED471F">
        <w:rPr>
          <w:rFonts w:ascii="Garamond" w:hAnsi="Garamond"/>
          <w:color w:val="000000"/>
        </w:rPr>
        <w:t xml:space="preserve">accomplish </w:t>
      </w:r>
      <w:r w:rsidR="00AC6B86">
        <w:rPr>
          <w:rFonts w:ascii="Garamond" w:hAnsi="Garamond"/>
          <w:color w:val="000000"/>
        </w:rPr>
        <w:t xml:space="preserve">the repair </w:t>
      </w:r>
      <w:r w:rsidR="0061617D">
        <w:rPr>
          <w:rFonts w:ascii="Garamond" w:hAnsi="Garamond"/>
          <w:color w:val="000000"/>
        </w:rPr>
        <w:t xml:space="preserve">that </w:t>
      </w:r>
      <w:r w:rsidR="00850193">
        <w:rPr>
          <w:rFonts w:ascii="Garamond" w:hAnsi="Garamond"/>
          <w:color w:val="000000"/>
        </w:rPr>
        <w:t xml:space="preserve">corrective justice theorists </w:t>
      </w:r>
      <w:r w:rsidR="00AC6B86">
        <w:rPr>
          <w:rFonts w:ascii="Garamond" w:hAnsi="Garamond"/>
          <w:color w:val="000000"/>
        </w:rPr>
        <w:t xml:space="preserve">think is its </w:t>
      </w:r>
      <w:r w:rsidR="00AC6B86" w:rsidRPr="00AC6B86">
        <w:rPr>
          <w:rFonts w:ascii="Garamond" w:hAnsi="Garamond"/>
          <w:i/>
          <w:iCs/>
          <w:color w:val="000000"/>
        </w:rPr>
        <w:t>raison d’etre</w:t>
      </w:r>
      <w:r w:rsidR="00AC6B86">
        <w:rPr>
          <w:rFonts w:ascii="Garamond" w:hAnsi="Garamond"/>
          <w:color w:val="000000"/>
        </w:rPr>
        <w:t xml:space="preserve">. </w:t>
      </w:r>
      <w:r w:rsidR="00850193">
        <w:rPr>
          <w:rFonts w:ascii="Garamond" w:hAnsi="Garamond"/>
          <w:color w:val="000000"/>
        </w:rPr>
        <w:t xml:space="preserve"> </w:t>
      </w:r>
    </w:p>
    <w:p w14:paraId="238A2819" w14:textId="4AA00161" w:rsidR="008B04E3" w:rsidRPr="008B04E3" w:rsidRDefault="00850193" w:rsidP="004E7E92">
      <w:pPr>
        <w:autoSpaceDE w:val="0"/>
        <w:autoSpaceDN w:val="0"/>
        <w:adjustRightInd w:val="0"/>
        <w:jc w:val="both"/>
        <w:rPr>
          <w:rFonts w:ascii="Garamond" w:hAnsi="Garamond"/>
          <w:color w:val="000000"/>
        </w:rPr>
      </w:pPr>
      <w:r>
        <w:rPr>
          <w:rFonts w:ascii="Garamond" w:hAnsi="Garamond"/>
          <w:color w:val="000000"/>
        </w:rPr>
        <w:t>The law of torts thus f</w:t>
      </w:r>
      <w:r w:rsidR="0061617D">
        <w:rPr>
          <w:rFonts w:ascii="Garamond" w:hAnsi="Garamond"/>
          <w:color w:val="000000"/>
        </w:rPr>
        <w:t>ails in the face of the harm that we have most reason to avoid. The law of torts is incomplete</w:t>
      </w:r>
      <w:r w:rsidR="005D3F77">
        <w:rPr>
          <w:rFonts w:ascii="Garamond" w:hAnsi="Garamond"/>
          <w:color w:val="000000"/>
        </w:rPr>
        <w:t>, and seriously so</w:t>
      </w:r>
      <w:r w:rsidR="0061617D">
        <w:rPr>
          <w:rFonts w:ascii="Garamond" w:hAnsi="Garamond"/>
          <w:color w:val="000000"/>
        </w:rPr>
        <w:t xml:space="preserve">. Direct regulation of risk </w:t>
      </w:r>
      <w:r w:rsidR="00902BCF">
        <w:rPr>
          <w:rFonts w:ascii="Garamond" w:hAnsi="Garamond"/>
          <w:color w:val="000000"/>
        </w:rPr>
        <w:t>discharges</w:t>
      </w:r>
      <w:r w:rsidR="005D3F77">
        <w:rPr>
          <w:rFonts w:ascii="Garamond" w:hAnsi="Garamond"/>
          <w:color w:val="000000"/>
        </w:rPr>
        <w:t xml:space="preserve"> </w:t>
      </w:r>
      <w:r w:rsidR="00902BCF">
        <w:rPr>
          <w:rFonts w:ascii="Garamond" w:hAnsi="Garamond"/>
          <w:color w:val="000000"/>
        </w:rPr>
        <w:t xml:space="preserve">a </w:t>
      </w:r>
      <w:r w:rsidR="005D3F77">
        <w:rPr>
          <w:rFonts w:ascii="Garamond" w:hAnsi="Garamond"/>
          <w:color w:val="000000"/>
        </w:rPr>
        <w:t>responsibilit</w:t>
      </w:r>
      <w:r w:rsidR="00902BCF">
        <w:rPr>
          <w:rFonts w:ascii="Garamond" w:hAnsi="Garamond"/>
          <w:color w:val="000000"/>
        </w:rPr>
        <w:t>y</w:t>
      </w:r>
      <w:r w:rsidR="005D3F77">
        <w:rPr>
          <w:rFonts w:ascii="Garamond" w:hAnsi="Garamond"/>
          <w:color w:val="000000"/>
        </w:rPr>
        <w:t xml:space="preserve"> that tort law shoulders but cannot </w:t>
      </w:r>
      <w:r w:rsidR="00CD07BB">
        <w:rPr>
          <w:rFonts w:ascii="Garamond" w:hAnsi="Garamond"/>
          <w:color w:val="000000"/>
        </w:rPr>
        <w:t xml:space="preserve">wholly </w:t>
      </w:r>
      <w:r w:rsidR="00902BCF">
        <w:rPr>
          <w:rFonts w:ascii="Garamond" w:hAnsi="Garamond"/>
          <w:color w:val="000000"/>
        </w:rPr>
        <w:t xml:space="preserve">fulfill. </w:t>
      </w:r>
      <w:r w:rsidR="0061617D">
        <w:rPr>
          <w:rFonts w:ascii="Garamond" w:hAnsi="Garamond"/>
          <w:color w:val="000000"/>
        </w:rPr>
        <w:t>To re</w:t>
      </w:r>
      <w:r w:rsidR="00471C76">
        <w:rPr>
          <w:rFonts w:ascii="Garamond" w:hAnsi="Garamond"/>
          <w:color w:val="000000"/>
        </w:rPr>
        <w:t>spond properly to</w:t>
      </w:r>
      <w:r w:rsidR="0061617D">
        <w:rPr>
          <w:rFonts w:ascii="Garamond" w:hAnsi="Garamond"/>
          <w:color w:val="000000"/>
        </w:rPr>
        <w:t xml:space="preserve"> the fact that safety is a kind of primary good whose provision takes priority over ordinary goods, direct regulation of risks of severe and irreparable injury must require more than cost-justified precaution. </w:t>
      </w:r>
      <w:r w:rsidR="00ED471F">
        <w:rPr>
          <w:rFonts w:ascii="Garamond" w:hAnsi="Garamond"/>
          <w:color w:val="000000"/>
        </w:rPr>
        <w:t>Consequently, s</w:t>
      </w:r>
      <w:r w:rsidR="0061617D">
        <w:rPr>
          <w:rFonts w:ascii="Garamond" w:hAnsi="Garamond"/>
          <w:color w:val="000000"/>
        </w:rPr>
        <w:t>tandards of safe and feasible precaution are not sentimental exercises in economic irrationality</w:t>
      </w:r>
      <w:r w:rsidR="00CD07BB">
        <w:rPr>
          <w:rFonts w:ascii="Garamond" w:hAnsi="Garamond"/>
          <w:color w:val="000000"/>
        </w:rPr>
        <w:t xml:space="preserve">, but important </w:t>
      </w:r>
      <w:r w:rsidR="0061617D">
        <w:rPr>
          <w:rFonts w:ascii="Garamond" w:hAnsi="Garamond"/>
          <w:color w:val="000000"/>
        </w:rPr>
        <w:t xml:space="preserve">and credible attempts to </w:t>
      </w:r>
      <w:r w:rsidR="006720CB">
        <w:rPr>
          <w:rFonts w:ascii="Garamond" w:hAnsi="Garamond"/>
          <w:color w:val="000000"/>
        </w:rPr>
        <w:t>establish one of the conditions necessary for equal and independent persons to exercise their agency</w:t>
      </w:r>
      <w:r w:rsidR="005D3F77">
        <w:rPr>
          <w:rFonts w:ascii="Garamond" w:hAnsi="Garamond"/>
          <w:color w:val="000000"/>
        </w:rPr>
        <w:t xml:space="preserve"> effectively, and to </w:t>
      </w:r>
      <w:r w:rsidR="006720CB">
        <w:rPr>
          <w:rFonts w:ascii="Garamond" w:hAnsi="Garamond"/>
          <w:color w:val="000000"/>
        </w:rPr>
        <w:t>pursue the ends, aspirations, and values that</w:t>
      </w:r>
      <w:r w:rsidR="005D3F77">
        <w:rPr>
          <w:rFonts w:ascii="Garamond" w:hAnsi="Garamond"/>
          <w:color w:val="000000"/>
        </w:rPr>
        <w:t xml:space="preserve"> give meaning to their lives.</w:t>
      </w:r>
    </w:p>
    <w:sectPr w:rsidR="008B04E3" w:rsidRPr="008B04E3" w:rsidSect="00366BF6">
      <w:footerReference w:type="default" r:id="rId8"/>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63456" w16cex:dateUtc="2021-07-12T10:24:00Z"/>
  <w16cex:commentExtensible w16cex:durableId="24967D41" w16cex:dateUtc="2021-07-12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18CCCC" w16cid:durableId="24963456"/>
  <w16cid:commentId w16cid:paraId="7F5A6F82" w16cid:durableId="24967D4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FABBB" w14:textId="77777777" w:rsidR="00B7722B" w:rsidRDefault="00B7722B" w:rsidP="00A218BD">
      <w:r>
        <w:separator/>
      </w:r>
    </w:p>
  </w:endnote>
  <w:endnote w:type="continuationSeparator" w:id="0">
    <w:p w14:paraId="0AF1812A" w14:textId="77777777" w:rsidR="00B7722B" w:rsidRDefault="00B7722B" w:rsidP="00A218BD">
      <w:r>
        <w:continuationSeparator/>
      </w:r>
    </w:p>
  </w:endnote>
  <w:endnote w:type="continuationNotice" w:id="1">
    <w:p w14:paraId="6650C4F3" w14:textId="77777777" w:rsidR="00B7722B" w:rsidRDefault="00B772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64809"/>
      <w:docPartObj>
        <w:docPartGallery w:val="Page Numbers (Bottom of Page)"/>
        <w:docPartUnique/>
      </w:docPartObj>
    </w:sdtPr>
    <w:sdtEndPr>
      <w:rPr>
        <w:noProof/>
      </w:rPr>
    </w:sdtEndPr>
    <w:sdtContent>
      <w:p w14:paraId="5A907359" w14:textId="1417B21C" w:rsidR="00FC6639" w:rsidRDefault="00FC6639">
        <w:pPr>
          <w:pStyle w:val="Footer"/>
          <w:jc w:val="center"/>
        </w:pPr>
        <w:r>
          <w:fldChar w:fldCharType="begin"/>
        </w:r>
        <w:r>
          <w:instrText xml:space="preserve"> PAGE   \* MERGEFORMAT </w:instrText>
        </w:r>
        <w:r>
          <w:fldChar w:fldCharType="separate"/>
        </w:r>
        <w:r w:rsidR="00E81665">
          <w:rPr>
            <w:noProof/>
          </w:rPr>
          <w:t>4</w:t>
        </w:r>
        <w:r>
          <w:rPr>
            <w:noProof/>
          </w:rPr>
          <w:fldChar w:fldCharType="end"/>
        </w:r>
      </w:p>
    </w:sdtContent>
  </w:sdt>
  <w:p w14:paraId="5AFE4B46" w14:textId="77777777" w:rsidR="00FC6639" w:rsidRDefault="00FC663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8F5FE" w14:textId="77777777" w:rsidR="00B7722B" w:rsidRDefault="00B7722B" w:rsidP="00A218BD">
      <w:r>
        <w:separator/>
      </w:r>
    </w:p>
  </w:footnote>
  <w:footnote w:type="continuationSeparator" w:id="0">
    <w:p w14:paraId="48F0F3E2" w14:textId="77777777" w:rsidR="00B7722B" w:rsidRDefault="00B7722B" w:rsidP="00A218BD">
      <w:r>
        <w:continuationSeparator/>
      </w:r>
    </w:p>
  </w:footnote>
  <w:footnote w:type="continuationNotice" w:id="1">
    <w:p w14:paraId="626D1840" w14:textId="77777777" w:rsidR="00B7722B" w:rsidRDefault="00B7722B"/>
  </w:footnote>
  <w:footnote w:id="2">
    <w:p w14:paraId="1D17BF62" w14:textId="385B6ECC" w:rsidR="000612A6" w:rsidRPr="00DC4495" w:rsidRDefault="000612A6" w:rsidP="008E1F5E">
      <w:pPr>
        <w:pStyle w:val="FootnoteText"/>
        <w:spacing w:after="0"/>
        <w:ind w:firstLine="0"/>
        <w:rPr>
          <w:rFonts w:ascii="Garamond" w:hAnsi="Garamond"/>
        </w:rPr>
      </w:pPr>
      <w:r w:rsidRPr="00DC4495">
        <w:rPr>
          <w:rStyle w:val="FootnoteReference"/>
          <w:rFonts w:ascii="Garamond" w:hAnsi="Garamond"/>
        </w:rPr>
        <w:footnoteRef/>
      </w:r>
      <w:r w:rsidRPr="00DC4495">
        <w:rPr>
          <w:rFonts w:ascii="Garamond" w:hAnsi="Garamond"/>
        </w:rPr>
        <w:t xml:space="preserve"> William T. Dalessi Professor of Law and Philosophy, USC Gould School of Law, Los Angeles, CA 90089.</w:t>
      </w:r>
    </w:p>
  </w:footnote>
  <w:footnote w:id="3">
    <w:p w14:paraId="21DBF58A" w14:textId="77777777" w:rsidR="00BE717C" w:rsidRPr="00DC4495" w:rsidRDefault="00BE717C" w:rsidP="00BE717C">
      <w:pPr>
        <w:pStyle w:val="FootnoteText"/>
        <w:spacing w:after="0"/>
        <w:ind w:firstLine="0"/>
        <w:rPr>
          <w:rFonts w:asciiTheme="minorHAnsi" w:hAnsiTheme="minorHAnsi"/>
        </w:rPr>
      </w:pPr>
      <w:r w:rsidRPr="00DC4495">
        <w:rPr>
          <w:rStyle w:val="FootnoteReference"/>
          <w:rFonts w:asciiTheme="minorHAnsi" w:hAnsiTheme="minorHAnsi"/>
        </w:rPr>
        <w:footnoteRef/>
      </w:r>
      <w:r w:rsidRPr="00DC4495">
        <w:rPr>
          <w:rFonts w:asciiTheme="minorHAnsi" w:hAnsiTheme="minorHAnsi"/>
        </w:rPr>
        <w:t xml:space="preserve"> See Gregory C. Keating, The Priority of Respect Over Repair, </w:t>
      </w:r>
      <w:r>
        <w:rPr>
          <w:rFonts w:asciiTheme="minorHAnsi" w:hAnsiTheme="minorHAnsi"/>
        </w:rPr>
        <w:t>18</w:t>
      </w:r>
      <w:r w:rsidRPr="00DC4495">
        <w:rPr>
          <w:rFonts w:asciiTheme="minorHAnsi" w:hAnsiTheme="minorHAnsi"/>
        </w:rPr>
        <w:t xml:space="preserve"> Legal Theory </w:t>
      </w:r>
      <w:r>
        <w:rPr>
          <w:rFonts w:asciiTheme="minorHAnsi" w:hAnsiTheme="minorHAnsi"/>
        </w:rPr>
        <w:t>293</w:t>
      </w:r>
      <w:r w:rsidRPr="00DC4495">
        <w:rPr>
          <w:rFonts w:asciiTheme="minorHAnsi" w:hAnsiTheme="minorHAnsi"/>
        </w:rPr>
        <w:t xml:space="preserve"> (2012). </w:t>
      </w:r>
    </w:p>
  </w:footnote>
  <w:footnote w:id="4">
    <w:p w14:paraId="7F3C07A4" w14:textId="11EE34E7" w:rsidR="00DC4495" w:rsidRPr="00DC4495" w:rsidRDefault="00DC4495" w:rsidP="008E1F5E">
      <w:pPr>
        <w:pStyle w:val="FootnoteText"/>
        <w:spacing w:after="0"/>
        <w:ind w:firstLine="0"/>
        <w:rPr>
          <w:rFonts w:asciiTheme="minorHAnsi" w:hAnsiTheme="minorHAnsi"/>
        </w:rPr>
      </w:pPr>
      <w:r w:rsidRPr="00DC4495">
        <w:rPr>
          <w:rStyle w:val="FootnoteReference"/>
          <w:rFonts w:asciiTheme="minorHAnsi" w:hAnsiTheme="minorHAnsi"/>
        </w:rPr>
        <w:footnoteRef/>
      </w:r>
      <w:r w:rsidRPr="00DC4495">
        <w:rPr>
          <w:rFonts w:asciiTheme="minorHAnsi" w:hAnsiTheme="minorHAnsi"/>
        </w:rPr>
        <w:t xml:space="preserve"> See </w:t>
      </w:r>
      <w:r w:rsidRPr="002D5108">
        <w:rPr>
          <w:rFonts w:asciiTheme="minorHAnsi" w:hAnsiTheme="minorHAnsi"/>
          <w:i/>
          <w:iCs/>
        </w:rPr>
        <w:t>e.g</w:t>
      </w:r>
      <w:r w:rsidRPr="00DC4495">
        <w:rPr>
          <w:rFonts w:asciiTheme="minorHAnsi" w:hAnsiTheme="minorHAnsi"/>
        </w:rPr>
        <w:t>., H.LA. Hart, Commands and Authoritative Reasons in Essays on Bentham</w:t>
      </w:r>
      <w:r w:rsidRPr="00E81665">
        <w:rPr>
          <w:rFonts w:asciiTheme="minorHAnsi" w:hAnsiTheme="minorHAnsi"/>
        </w:rPr>
        <w:t xml:space="preserve">, </w:t>
      </w:r>
      <w:r w:rsidR="00E81665">
        <w:rPr>
          <w:rFonts w:asciiTheme="minorHAnsi" w:hAnsiTheme="minorHAnsi"/>
        </w:rPr>
        <w:t>243,</w:t>
      </w:r>
      <w:r w:rsidRPr="00DC4495">
        <w:rPr>
          <w:rFonts w:asciiTheme="minorHAnsi" w:hAnsiTheme="minorHAnsi"/>
        </w:rPr>
        <w:t xml:space="preserve"> 254 (1982) (explaining that the law’s coercive mechanisms and their incentivizing effects “are secondary provisions for a breakdown in case the primary intended peremptory reasons are not accepted [or treated] as such”</w:t>
      </w:r>
      <w:r w:rsidR="008E1F5E">
        <w:rPr>
          <w:rFonts w:asciiTheme="minorHAnsi" w:hAnsiTheme="minorHAnsi"/>
        </w:rPr>
        <w:t>)</w:t>
      </w:r>
      <w:r w:rsidR="00364E2B">
        <w:rPr>
          <w:rFonts w:asciiTheme="minorHAnsi" w:hAnsiTheme="minorHAnsi"/>
        </w:rPr>
        <w:t>.</w:t>
      </w:r>
      <w:r w:rsidRPr="00DC4495">
        <w:rPr>
          <w:rFonts w:asciiTheme="minorHAnsi" w:hAnsiTheme="minorHAnsi"/>
        </w:rPr>
        <w:t xml:space="preserve"> </w:t>
      </w:r>
    </w:p>
  </w:footnote>
  <w:footnote w:id="5">
    <w:p w14:paraId="07787FAD" w14:textId="77D7F3AB" w:rsidR="00FC6639" w:rsidRPr="00956A30" w:rsidRDefault="00FC6639" w:rsidP="00F0044D">
      <w:pPr>
        <w:pStyle w:val="FootnoteText"/>
        <w:spacing w:after="0"/>
        <w:ind w:firstLine="0"/>
        <w:rPr>
          <w:rFonts w:asciiTheme="minorHAnsi" w:hAnsiTheme="minorHAnsi"/>
        </w:rPr>
      </w:pPr>
      <w:r w:rsidRPr="005A6CCB">
        <w:rPr>
          <w:rStyle w:val="FootnoteReference"/>
          <w:rFonts w:asciiTheme="minorHAnsi" w:hAnsiTheme="minorHAnsi"/>
        </w:rPr>
        <w:footnoteRef/>
      </w:r>
      <w:r w:rsidRPr="005A6CCB">
        <w:rPr>
          <w:rFonts w:asciiTheme="minorHAnsi" w:hAnsiTheme="minorHAnsi"/>
        </w:rPr>
        <w:t xml:space="preserve"> </w:t>
      </w:r>
      <w:r>
        <w:rPr>
          <w:rFonts w:asciiTheme="minorHAnsi" w:hAnsiTheme="minorHAnsi"/>
        </w:rPr>
        <w:t>John Gardner, Torts and Other Wrongs, in Torts and Other Wrongs 1, 10 (201</w:t>
      </w:r>
      <w:r w:rsidRPr="00747E15">
        <w:rPr>
          <w:rFonts w:asciiTheme="minorHAnsi" w:hAnsiTheme="minorHAnsi"/>
        </w:rPr>
        <w:t>9).</w:t>
      </w:r>
      <w:r w:rsidRPr="00B07D9D">
        <w:rPr>
          <w:rFonts w:asciiTheme="minorHAnsi" w:hAnsiTheme="minorHAnsi"/>
          <w:b/>
          <w:bCs/>
        </w:rPr>
        <w:t xml:space="preserve"> </w:t>
      </w:r>
      <w:r>
        <w:rPr>
          <w:rFonts w:asciiTheme="minorHAnsi" w:hAnsiTheme="minorHAnsi"/>
        </w:rPr>
        <w:t xml:space="preserve">Pride of place is not sole and despotic dominion; other remedies are sometimes available. Importantly, injunctive relief is exceptional. </w:t>
      </w:r>
      <w:r w:rsidRPr="005A6CCB">
        <w:rPr>
          <w:rFonts w:asciiTheme="minorHAnsi" w:hAnsiTheme="minorHAnsi"/>
        </w:rPr>
        <w:t xml:space="preserve">Injunctions are sometimes available in </w:t>
      </w:r>
      <w:r>
        <w:rPr>
          <w:rFonts w:asciiTheme="minorHAnsi" w:hAnsiTheme="minorHAnsi"/>
        </w:rPr>
        <w:t xml:space="preserve">exceptional </w:t>
      </w:r>
      <w:r w:rsidRPr="005A6CCB">
        <w:rPr>
          <w:rFonts w:asciiTheme="minorHAnsi" w:hAnsiTheme="minorHAnsi"/>
        </w:rPr>
        <w:t xml:space="preserve">cases </w:t>
      </w:r>
      <w:r>
        <w:rPr>
          <w:rFonts w:asciiTheme="minorHAnsi" w:hAnsiTheme="minorHAnsi"/>
        </w:rPr>
        <w:t xml:space="preserve">involving property torts, dignitary torts, and constitutional torts. </w:t>
      </w:r>
      <w:r w:rsidRPr="005A6CCB">
        <w:rPr>
          <w:rFonts w:asciiTheme="minorHAnsi" w:hAnsiTheme="minorHAnsi"/>
        </w:rPr>
        <w:t xml:space="preserve">See </w:t>
      </w:r>
      <w:r w:rsidRPr="00956A30">
        <w:rPr>
          <w:rFonts w:asciiTheme="minorHAnsi" w:hAnsiTheme="minorHAnsi"/>
        </w:rPr>
        <w:t xml:space="preserve">Dan B. Dobbs, Paul T. Hayden, &amp; Ellen M. Bublick, Hornbook on Torts 851 (West, 2nd ed. 2016). </w:t>
      </w:r>
      <w:bookmarkStart w:id="1" w:name="_Hlk49543669"/>
    </w:p>
    <w:bookmarkEnd w:id="1"/>
  </w:footnote>
  <w:footnote w:id="6">
    <w:p w14:paraId="6D41C874" w14:textId="5AFEB979" w:rsidR="00FC6639" w:rsidRPr="00E4294A" w:rsidRDefault="00FC6639" w:rsidP="00BD26C7">
      <w:pPr>
        <w:pStyle w:val="FootnoteText"/>
        <w:spacing w:after="0"/>
        <w:ind w:firstLine="0"/>
        <w:rPr>
          <w:rFonts w:ascii="Garamond" w:hAnsi="Garamond"/>
        </w:rPr>
      </w:pPr>
      <w:r>
        <w:rPr>
          <w:rStyle w:val="FootnoteReference"/>
        </w:rPr>
        <w:footnoteRef/>
      </w:r>
      <w:r>
        <w:t xml:space="preserve"> </w:t>
      </w:r>
      <w:r>
        <w:rPr>
          <w:rFonts w:ascii="Garamond" w:hAnsi="Garamond"/>
        </w:rPr>
        <w:t xml:space="preserve">See </w:t>
      </w:r>
      <w:r w:rsidRPr="008701BB">
        <w:rPr>
          <w:rFonts w:ascii="Garamond" w:hAnsi="Garamond"/>
          <w:i/>
          <w:iCs/>
        </w:rPr>
        <w:t>e.g.</w:t>
      </w:r>
      <w:r>
        <w:rPr>
          <w:rFonts w:ascii="Garamond" w:hAnsi="Garamond"/>
        </w:rPr>
        <w:t xml:space="preserve">, </w:t>
      </w:r>
      <w:r w:rsidRPr="006520E0">
        <w:rPr>
          <w:rFonts w:ascii="Garamond" w:hAnsi="Garamond"/>
        </w:rPr>
        <w:t xml:space="preserve">Keel v. Banach, 624 So.2d 1022, 1029 (Ala. 1993). </w:t>
      </w:r>
      <w:r>
        <w:rPr>
          <w:rFonts w:ascii="Garamond" w:hAnsi="Garamond"/>
        </w:rPr>
        <w:t xml:space="preserve">Compare </w:t>
      </w:r>
      <w:r w:rsidRPr="006520E0">
        <w:rPr>
          <w:rFonts w:ascii="Garamond" w:hAnsi="Garamond"/>
        </w:rPr>
        <w:t>Porter v. City of Manchester, 849 A.2d 103, 118-19 (N.H.</w:t>
      </w:r>
      <w:r>
        <w:rPr>
          <w:rFonts w:ascii="Garamond" w:hAnsi="Garamond"/>
        </w:rPr>
        <w:t xml:space="preserve"> </w:t>
      </w:r>
      <w:r w:rsidRPr="006520E0">
        <w:rPr>
          <w:rFonts w:ascii="Garamond" w:hAnsi="Garamond"/>
        </w:rPr>
        <w:t>2004) (</w:t>
      </w:r>
      <w:r>
        <w:rPr>
          <w:rFonts w:ascii="Garamond" w:hAnsi="Garamond"/>
        </w:rPr>
        <w:t>“T</w:t>
      </w:r>
      <w:r w:rsidRPr="006520E0">
        <w:rPr>
          <w:rFonts w:ascii="Garamond" w:hAnsi="Garamond"/>
        </w:rPr>
        <w:t>he usual rule of compensatory damages in tort cases requires that the person</w:t>
      </w:r>
      <w:r>
        <w:rPr>
          <w:rFonts w:ascii="Garamond" w:hAnsi="Garamond"/>
        </w:rPr>
        <w:t xml:space="preserve"> </w:t>
      </w:r>
      <w:r w:rsidRPr="006520E0">
        <w:rPr>
          <w:rFonts w:ascii="Garamond" w:hAnsi="Garamond"/>
        </w:rPr>
        <w:t>wronged receive a sum of money that will restore the person as nearly as possible to the</w:t>
      </w:r>
      <w:r>
        <w:rPr>
          <w:rFonts w:ascii="Garamond" w:hAnsi="Garamond"/>
        </w:rPr>
        <w:t xml:space="preserve"> </w:t>
      </w:r>
      <w:r w:rsidRPr="006520E0">
        <w:rPr>
          <w:rFonts w:ascii="Garamond" w:hAnsi="Garamond"/>
        </w:rPr>
        <w:t>position he or she would have been in if the wrong had not been committed</w:t>
      </w:r>
      <w:r>
        <w:rPr>
          <w:rFonts w:ascii="Garamond" w:hAnsi="Garamond"/>
        </w:rPr>
        <w:t>.”</w:t>
      </w:r>
      <w:r w:rsidRPr="006520E0">
        <w:rPr>
          <w:rFonts w:ascii="Garamond" w:hAnsi="Garamond"/>
        </w:rPr>
        <w:t>).</w:t>
      </w:r>
    </w:p>
  </w:footnote>
  <w:footnote w:id="7">
    <w:p w14:paraId="69830D0F" w14:textId="4203CECA" w:rsidR="00FC6639" w:rsidRPr="00D8202D" w:rsidRDefault="00FC6639" w:rsidP="00BD26C7">
      <w:pPr>
        <w:pStyle w:val="FootnoteText"/>
        <w:spacing w:after="0"/>
        <w:ind w:firstLine="0"/>
        <w:rPr>
          <w:rFonts w:ascii="Garamond" w:hAnsi="Garamond"/>
        </w:rPr>
      </w:pPr>
      <w:r w:rsidRPr="00287F4A">
        <w:rPr>
          <w:rStyle w:val="FootnoteReference"/>
          <w:rFonts w:ascii="Garamond" w:hAnsi="Garamond"/>
        </w:rPr>
        <w:footnoteRef/>
      </w:r>
      <w:r w:rsidRPr="00287F4A">
        <w:rPr>
          <w:rFonts w:ascii="Garamond" w:hAnsi="Garamond"/>
        </w:rPr>
        <w:t xml:space="preserve"> Douglas Laycock, The Death of the Irreparable Injury Rule, 103 Harv. L.</w:t>
      </w:r>
      <w:r>
        <w:rPr>
          <w:rFonts w:ascii="Garamond" w:hAnsi="Garamond"/>
        </w:rPr>
        <w:t xml:space="preserve"> </w:t>
      </w:r>
      <w:r w:rsidRPr="00287F4A">
        <w:rPr>
          <w:rFonts w:ascii="Garamond" w:hAnsi="Garamond"/>
        </w:rPr>
        <w:t>Rev. 687, 703</w:t>
      </w:r>
      <w:r>
        <w:rPr>
          <w:rFonts w:ascii="Garamond" w:hAnsi="Garamond"/>
        </w:rPr>
        <w:t xml:space="preserve"> (1990). </w:t>
      </w:r>
    </w:p>
  </w:footnote>
  <w:footnote w:id="8">
    <w:p w14:paraId="1EF04D1A" w14:textId="46432B7A" w:rsidR="00FC6639" w:rsidRPr="00D8202D" w:rsidRDefault="00FC6639" w:rsidP="00BD26C7">
      <w:pPr>
        <w:pStyle w:val="FootnoteText"/>
        <w:spacing w:after="0"/>
        <w:ind w:firstLine="0"/>
        <w:rPr>
          <w:rFonts w:ascii="Garamond" w:hAnsi="Garamond"/>
        </w:rPr>
      </w:pPr>
      <w:r w:rsidRPr="00D8202D">
        <w:rPr>
          <w:rStyle w:val="FootnoteReference"/>
          <w:rFonts w:ascii="Garamond" w:hAnsi="Garamond"/>
        </w:rPr>
        <w:footnoteRef/>
      </w:r>
      <w:r w:rsidRPr="00D8202D">
        <w:rPr>
          <w:rFonts w:ascii="Garamond" w:hAnsi="Garamond"/>
        </w:rPr>
        <w:t xml:space="preserve"> Scott Hershovitz</w:t>
      </w:r>
      <w:r>
        <w:rPr>
          <w:rFonts w:ascii="Garamond" w:hAnsi="Garamond"/>
        </w:rPr>
        <w:t xml:space="preserve">, </w:t>
      </w:r>
      <w:r w:rsidRPr="00D8202D">
        <w:rPr>
          <w:rFonts w:ascii="Garamond" w:hAnsi="Garamond"/>
        </w:rPr>
        <w:t>Corrective Justice for Civil Recourse Theorists, 39 Fla. St.</w:t>
      </w:r>
      <w:r>
        <w:rPr>
          <w:rFonts w:ascii="Garamond" w:hAnsi="Garamond"/>
        </w:rPr>
        <w:t xml:space="preserve"> </w:t>
      </w:r>
      <w:r w:rsidRPr="00D8202D">
        <w:rPr>
          <w:rFonts w:ascii="Garamond" w:hAnsi="Garamond"/>
        </w:rPr>
        <w:t>U. L</w:t>
      </w:r>
      <w:r>
        <w:rPr>
          <w:rFonts w:ascii="Garamond" w:hAnsi="Garamond"/>
        </w:rPr>
        <w:t>.</w:t>
      </w:r>
      <w:r w:rsidRPr="00D8202D">
        <w:rPr>
          <w:rFonts w:ascii="Garamond" w:hAnsi="Garamond"/>
        </w:rPr>
        <w:t xml:space="preserve"> Rev. 107, 110 (2011)</w:t>
      </w:r>
      <w:r>
        <w:rPr>
          <w:rFonts w:ascii="Garamond" w:hAnsi="Garamond"/>
        </w:rPr>
        <w:t>.</w:t>
      </w:r>
    </w:p>
  </w:footnote>
  <w:footnote w:id="9">
    <w:p w14:paraId="2FE3F00B" w14:textId="4CA6F291" w:rsidR="00FC6639" w:rsidRPr="004D608C" w:rsidRDefault="00FC6639" w:rsidP="00BD26C7">
      <w:pPr>
        <w:pStyle w:val="FootnoteText"/>
        <w:spacing w:after="0"/>
        <w:ind w:firstLine="0"/>
        <w:rPr>
          <w:rFonts w:asciiTheme="majorHAnsi" w:hAnsiTheme="majorHAnsi"/>
        </w:rPr>
      </w:pPr>
      <w:r w:rsidRPr="004D608C">
        <w:rPr>
          <w:rStyle w:val="FootnoteReference"/>
          <w:rFonts w:asciiTheme="majorHAnsi" w:hAnsiTheme="majorHAnsi"/>
        </w:rPr>
        <w:footnoteRef/>
      </w:r>
      <w:r w:rsidRPr="004D608C">
        <w:rPr>
          <w:rFonts w:asciiTheme="majorHAnsi" w:hAnsiTheme="majorHAnsi"/>
        </w:rPr>
        <w:t xml:space="preserve"> See </w:t>
      </w:r>
      <w:r w:rsidRPr="008701BB">
        <w:rPr>
          <w:rFonts w:asciiTheme="majorHAnsi" w:hAnsiTheme="majorHAnsi"/>
          <w:i/>
          <w:iCs/>
        </w:rPr>
        <w:t>e.g.</w:t>
      </w:r>
      <w:r w:rsidRPr="004D608C">
        <w:rPr>
          <w:rFonts w:asciiTheme="majorHAnsi" w:hAnsiTheme="majorHAnsi"/>
        </w:rPr>
        <w:t xml:space="preserve">, Restatement </w:t>
      </w:r>
      <w:r>
        <w:rPr>
          <w:rFonts w:asciiTheme="majorHAnsi" w:hAnsiTheme="majorHAnsi"/>
        </w:rPr>
        <w:t>(</w:t>
      </w:r>
      <w:r w:rsidRPr="004D608C">
        <w:rPr>
          <w:rFonts w:asciiTheme="majorHAnsi" w:hAnsiTheme="majorHAnsi"/>
        </w:rPr>
        <w:t>Third</w:t>
      </w:r>
      <w:r>
        <w:rPr>
          <w:rFonts w:asciiTheme="majorHAnsi" w:hAnsiTheme="majorHAnsi"/>
        </w:rPr>
        <w:t>)</w:t>
      </w:r>
      <w:r w:rsidRPr="004D608C">
        <w:rPr>
          <w:rFonts w:asciiTheme="majorHAnsi" w:hAnsiTheme="majorHAnsi"/>
        </w:rPr>
        <w:t xml:space="preserve"> of Torts</w:t>
      </w:r>
      <w:r>
        <w:rPr>
          <w:rFonts w:asciiTheme="majorHAnsi" w:hAnsiTheme="majorHAnsi"/>
        </w:rPr>
        <w:t>: Liability for Physical and Emotional Harm</w:t>
      </w:r>
      <w:r w:rsidRPr="004D608C">
        <w:rPr>
          <w:rFonts w:asciiTheme="majorHAnsi" w:hAnsiTheme="majorHAnsi"/>
        </w:rPr>
        <w:t xml:space="preserve"> §</w:t>
      </w:r>
      <w:r>
        <w:rPr>
          <w:rFonts w:asciiTheme="majorHAnsi" w:hAnsiTheme="majorHAnsi"/>
        </w:rPr>
        <w:t>§</w:t>
      </w:r>
      <w:r w:rsidRPr="004D608C">
        <w:rPr>
          <w:rFonts w:asciiTheme="majorHAnsi" w:hAnsiTheme="majorHAnsi"/>
        </w:rPr>
        <w:t xml:space="preserve"> 4</w:t>
      </w:r>
      <w:r>
        <w:rPr>
          <w:rFonts w:asciiTheme="majorHAnsi" w:hAnsiTheme="majorHAnsi"/>
        </w:rPr>
        <w:t xml:space="preserve"> &amp; 6 (defining physical harm as impairment of one’s body or property and explaining that, in general, physical harm is a predicate for a negligence claim). For exceptions see Dobbs 2016, at 667-750. </w:t>
      </w:r>
    </w:p>
  </w:footnote>
  <w:footnote w:id="10">
    <w:p w14:paraId="33B819DD" w14:textId="1FFDF223" w:rsidR="00FC6639" w:rsidRPr="005E2D18" w:rsidRDefault="00FC6639" w:rsidP="00BD26C7">
      <w:pPr>
        <w:pStyle w:val="FootnoteText"/>
        <w:spacing w:after="0"/>
        <w:ind w:firstLine="0"/>
        <w:rPr>
          <w:rFonts w:ascii="Garamond" w:hAnsi="Garamond"/>
        </w:rPr>
      </w:pPr>
      <w:r w:rsidRPr="005E2D18">
        <w:rPr>
          <w:rStyle w:val="FootnoteReference"/>
          <w:rFonts w:ascii="Garamond" w:hAnsi="Garamond"/>
        </w:rPr>
        <w:footnoteRef/>
      </w:r>
      <w:r w:rsidRPr="005E2D18">
        <w:rPr>
          <w:rFonts w:ascii="Garamond" w:hAnsi="Garamond"/>
        </w:rPr>
        <w:t xml:space="preserve"> As in Davis v. Consolidated Rail Corp., 788 F.2d 1260 (7</w:t>
      </w:r>
      <w:r w:rsidRPr="005E2D18">
        <w:rPr>
          <w:rFonts w:ascii="Garamond" w:hAnsi="Garamond"/>
          <w:vertAlign w:val="superscript"/>
        </w:rPr>
        <w:t>th</w:t>
      </w:r>
      <w:r w:rsidRPr="005E2D18">
        <w:rPr>
          <w:rFonts w:ascii="Garamond" w:hAnsi="Garamond"/>
        </w:rPr>
        <w:t xml:space="preserve"> Cir</w:t>
      </w:r>
      <w:r>
        <w:rPr>
          <w:rFonts w:ascii="Garamond" w:hAnsi="Garamond"/>
        </w:rPr>
        <w:t>.</w:t>
      </w:r>
      <w:r w:rsidRPr="005E2D18">
        <w:rPr>
          <w:rFonts w:ascii="Garamond" w:hAnsi="Garamond"/>
        </w:rPr>
        <w:t xml:space="preserve"> 1986).  </w:t>
      </w:r>
    </w:p>
  </w:footnote>
  <w:footnote w:id="11">
    <w:p w14:paraId="2F59E771" w14:textId="1662725D" w:rsidR="00FC6639" w:rsidRPr="00821C5A" w:rsidRDefault="00FC6639" w:rsidP="00B70478">
      <w:pPr>
        <w:pStyle w:val="FootnoteText"/>
        <w:spacing w:after="0"/>
        <w:ind w:firstLine="0"/>
        <w:rPr>
          <w:rFonts w:asciiTheme="minorHAnsi" w:hAnsiTheme="minorHAnsi"/>
        </w:rPr>
      </w:pPr>
      <w:r w:rsidRPr="00821C5A">
        <w:rPr>
          <w:rStyle w:val="FootnoteReference"/>
          <w:rFonts w:asciiTheme="minorHAnsi" w:hAnsiTheme="minorHAnsi"/>
        </w:rPr>
        <w:footnoteRef/>
      </w:r>
      <w:r w:rsidRPr="00821C5A">
        <w:rPr>
          <w:rFonts w:asciiTheme="minorHAnsi" w:hAnsiTheme="minorHAnsi"/>
        </w:rPr>
        <w:t xml:space="preserve"> See generally</w:t>
      </w:r>
      <w:r>
        <w:rPr>
          <w:rFonts w:asciiTheme="minorHAnsi" w:hAnsiTheme="minorHAnsi"/>
        </w:rPr>
        <w:t>,</w:t>
      </w:r>
      <w:r w:rsidRPr="00821C5A">
        <w:rPr>
          <w:rFonts w:asciiTheme="minorHAnsi" w:hAnsiTheme="minorHAnsi"/>
        </w:rPr>
        <w:t xml:space="preserve"> Sean Williams, </w:t>
      </w:r>
      <w:r w:rsidRPr="00F47379">
        <w:rPr>
          <w:rFonts w:asciiTheme="minorHAnsi" w:hAnsiTheme="minorHAnsi"/>
        </w:rPr>
        <w:t>Self-Altering Injury: The Hidden Harms of Hedonic Adaption</w:t>
      </w:r>
      <w:r w:rsidRPr="00821C5A">
        <w:rPr>
          <w:rFonts w:asciiTheme="minorHAnsi" w:hAnsiTheme="minorHAnsi"/>
        </w:rPr>
        <w:t>, 96</w:t>
      </w:r>
      <w:r>
        <w:rPr>
          <w:rFonts w:asciiTheme="minorHAnsi" w:hAnsiTheme="minorHAnsi"/>
        </w:rPr>
        <w:t xml:space="preserve"> Cornell L. Rev.</w:t>
      </w:r>
      <w:r w:rsidRPr="00821C5A">
        <w:rPr>
          <w:rFonts w:asciiTheme="minorHAnsi" w:hAnsiTheme="minorHAnsi"/>
        </w:rPr>
        <w:t xml:space="preserve"> 535 (2011). </w:t>
      </w:r>
    </w:p>
  </w:footnote>
  <w:footnote w:id="12">
    <w:p w14:paraId="4AB5AD6F" w14:textId="38B35ED8" w:rsidR="00FC6639" w:rsidRPr="00821C5A" w:rsidRDefault="00FC6639" w:rsidP="000875AA">
      <w:pPr>
        <w:pStyle w:val="FootnoteText"/>
        <w:spacing w:after="0"/>
        <w:ind w:firstLine="0"/>
        <w:rPr>
          <w:rFonts w:ascii="Garamond" w:hAnsi="Garamond"/>
        </w:rPr>
      </w:pPr>
      <w:r w:rsidRPr="00821C5A">
        <w:rPr>
          <w:rStyle w:val="FootnoteReference"/>
          <w:rFonts w:asciiTheme="minorHAnsi" w:hAnsiTheme="minorHAnsi"/>
        </w:rPr>
        <w:footnoteRef/>
      </w:r>
      <w:r w:rsidRPr="00821C5A">
        <w:rPr>
          <w:rFonts w:asciiTheme="minorHAnsi" w:hAnsiTheme="minorHAnsi"/>
        </w:rPr>
        <w:t xml:space="preserve"> See </w:t>
      </w:r>
      <w:r>
        <w:rPr>
          <w:rFonts w:asciiTheme="minorHAnsi" w:hAnsiTheme="minorHAnsi"/>
        </w:rPr>
        <w:t xml:space="preserve">generally, </w:t>
      </w:r>
      <w:r w:rsidRPr="00821C5A">
        <w:rPr>
          <w:rFonts w:asciiTheme="minorHAnsi" w:hAnsiTheme="minorHAnsi"/>
        </w:rPr>
        <w:t>Margar</w:t>
      </w:r>
      <w:r>
        <w:rPr>
          <w:rFonts w:asciiTheme="minorHAnsi" w:hAnsiTheme="minorHAnsi"/>
        </w:rPr>
        <w:t>e</w:t>
      </w:r>
      <w:r w:rsidRPr="00821C5A">
        <w:rPr>
          <w:rFonts w:asciiTheme="minorHAnsi" w:hAnsiTheme="minorHAnsi"/>
        </w:rPr>
        <w:t xml:space="preserve">t Jane </w:t>
      </w:r>
      <w:r w:rsidRPr="00821C5A">
        <w:rPr>
          <w:rFonts w:ascii="Garamond" w:hAnsi="Garamond"/>
        </w:rPr>
        <w:t xml:space="preserve">Radin, </w:t>
      </w:r>
      <w:r w:rsidRPr="00F47379">
        <w:rPr>
          <w:rFonts w:ascii="Garamond" w:hAnsi="Garamond"/>
        </w:rPr>
        <w:t>Property and Personhood,</w:t>
      </w:r>
      <w:r w:rsidRPr="00821C5A">
        <w:rPr>
          <w:rFonts w:ascii="Garamond" w:hAnsi="Garamond"/>
        </w:rPr>
        <w:t xml:space="preserve"> 34</w:t>
      </w:r>
      <w:r>
        <w:rPr>
          <w:rFonts w:ascii="Garamond" w:hAnsi="Garamond"/>
        </w:rPr>
        <w:t xml:space="preserve"> Stan L. Rev.</w:t>
      </w:r>
      <w:r w:rsidRPr="00821C5A">
        <w:rPr>
          <w:rFonts w:ascii="Garamond" w:hAnsi="Garamond"/>
          <w:smallCaps/>
        </w:rPr>
        <w:t xml:space="preserve"> </w:t>
      </w:r>
      <w:r w:rsidRPr="00821C5A">
        <w:rPr>
          <w:rFonts w:ascii="Garamond" w:hAnsi="Garamond"/>
        </w:rPr>
        <w:t>934 (1982).</w:t>
      </w:r>
    </w:p>
  </w:footnote>
  <w:footnote w:id="13">
    <w:p w14:paraId="42E7A757" w14:textId="72864840" w:rsidR="00FC6639" w:rsidRPr="00D37ACE" w:rsidRDefault="00FC6639" w:rsidP="00BD26C7">
      <w:pPr>
        <w:pStyle w:val="FootnoteText"/>
        <w:spacing w:after="0"/>
        <w:ind w:firstLine="0"/>
        <w:rPr>
          <w:rFonts w:ascii="Garamond" w:hAnsi="Garamond"/>
        </w:rPr>
      </w:pPr>
      <w:r w:rsidRPr="00D37ACE">
        <w:rPr>
          <w:rStyle w:val="FootnoteReference"/>
          <w:rFonts w:ascii="Garamond" w:hAnsi="Garamond"/>
        </w:rPr>
        <w:footnoteRef/>
      </w:r>
      <w:r>
        <w:rPr>
          <w:rFonts w:ascii="Garamond" w:hAnsi="Garamond"/>
        </w:rPr>
        <w:t xml:space="preserve"> Restatement (Second) of Torts </w:t>
      </w:r>
      <w:r w:rsidRPr="00BE769B">
        <w:rPr>
          <w:rFonts w:ascii="Garamond" w:hAnsi="Garamond"/>
        </w:rPr>
        <w:t>§ 903 cmt. a, (1979)</w:t>
      </w:r>
      <w:r>
        <w:rPr>
          <w:rFonts w:ascii="Garamond" w:hAnsi="Garamond"/>
        </w:rPr>
        <w:t xml:space="preserve">. See also, </w:t>
      </w:r>
      <w:r w:rsidRPr="009A59C3">
        <w:rPr>
          <w:rFonts w:ascii="Garamond" w:hAnsi="Garamond"/>
        </w:rPr>
        <w:t>Zibell v. S. Pac. Co, 116 P. 513, 50 (Cal. 1911) (quoting Heddles v. Chi &amp; Nw. Ry., 42 N.W. 237 (Wis. 1889))</w:t>
      </w:r>
      <w:r>
        <w:rPr>
          <w:rFonts w:ascii="Garamond" w:hAnsi="Garamond"/>
        </w:rPr>
        <w:t xml:space="preserve"> (“</w:t>
      </w:r>
      <w:r w:rsidRPr="009A59C3">
        <w:rPr>
          <w:rFonts w:ascii="Garamond" w:hAnsi="Garamond"/>
        </w:rPr>
        <w:t xml:space="preserve">No rational being would change places with the injured man for an amount of gold that will fill the room of the court . . </w:t>
      </w:r>
      <w:r>
        <w:rPr>
          <w:rFonts w:ascii="Garamond" w:hAnsi="Garamond"/>
        </w:rPr>
        <w:t xml:space="preserve">.”) The incommensurability of money damages and harm is most vivid when death is the harm. “The death of a family member, particularly a child, involves inconsolable grief for which no amount of money damages can compensate. Counsel’s suggestion that the Roberts [family] would not have traded Michael’s life for $10,000,000 is entirely accurate—but they would also not have traded Michael’s life for $100,000,00 or even a 1,000,000,000.” Roberts v. Stevens Clinic Hosp., Inc. 176 W.Va. 492, 499 (1986). </w:t>
      </w:r>
      <w:r w:rsidRPr="00D37ACE">
        <w:rPr>
          <w:rFonts w:ascii="Garamond" w:hAnsi="Garamond"/>
        </w:rPr>
        <w:t xml:space="preserve">For perceptive discussion see </w:t>
      </w:r>
      <w:bookmarkStart w:id="2" w:name="_Hlk47303388"/>
      <w:r w:rsidRPr="00D37ACE">
        <w:rPr>
          <w:rFonts w:ascii="Garamond" w:hAnsi="Garamond"/>
        </w:rPr>
        <w:t xml:space="preserve">Mark Geistfeld, </w:t>
      </w:r>
      <w:r w:rsidRPr="00F47379">
        <w:rPr>
          <w:rFonts w:ascii="Garamond" w:hAnsi="Garamond"/>
        </w:rPr>
        <w:t>The Principle of Misalignment: Duty, Damages, and the Nature of Tort Liability,</w:t>
      </w:r>
      <w:r w:rsidRPr="00D37ACE">
        <w:rPr>
          <w:rFonts w:ascii="Garamond" w:hAnsi="Garamond"/>
        </w:rPr>
        <w:t xml:space="preserve"> 12</w:t>
      </w:r>
      <w:r>
        <w:rPr>
          <w:rFonts w:ascii="Garamond" w:hAnsi="Garamond"/>
        </w:rPr>
        <w:t>1 Yale</w:t>
      </w:r>
      <w:r w:rsidRPr="00D37ACE">
        <w:rPr>
          <w:rFonts w:ascii="Garamond" w:hAnsi="Garamond"/>
          <w:smallCaps/>
        </w:rPr>
        <w:t xml:space="preserve"> L.J.</w:t>
      </w:r>
      <w:r w:rsidRPr="00D37ACE">
        <w:rPr>
          <w:rFonts w:ascii="Garamond" w:hAnsi="Garamond"/>
        </w:rPr>
        <w:t xml:space="preserve"> 142, 161-64 (2011)</w:t>
      </w:r>
      <w:r>
        <w:rPr>
          <w:rFonts w:ascii="Garamond" w:hAnsi="Garamond"/>
        </w:rPr>
        <w:t>. Geistfeld draws heavily on Laycock 1990.</w:t>
      </w:r>
    </w:p>
    <w:bookmarkEnd w:id="2"/>
  </w:footnote>
  <w:footnote w:id="14">
    <w:p w14:paraId="7FCFB644" w14:textId="400986BF" w:rsidR="00FC6639" w:rsidRPr="0070667D" w:rsidRDefault="00FC6639" w:rsidP="00A312BD">
      <w:pPr>
        <w:pStyle w:val="FootnoteText"/>
        <w:spacing w:after="0"/>
        <w:ind w:firstLine="0"/>
        <w:rPr>
          <w:rFonts w:asciiTheme="minorHAnsi" w:hAnsiTheme="minorHAnsi"/>
        </w:rPr>
      </w:pPr>
      <w:r w:rsidRPr="00D3487F">
        <w:rPr>
          <w:rStyle w:val="FootnoteReference"/>
          <w:rFonts w:ascii="Garamond" w:hAnsi="Garamond"/>
        </w:rPr>
        <w:footnoteRef/>
      </w:r>
      <w:r w:rsidRPr="00D3487F">
        <w:rPr>
          <w:rFonts w:ascii="Garamond" w:hAnsi="Garamond"/>
        </w:rPr>
        <w:t xml:space="preserve"> See Margaret Jane Radin, </w:t>
      </w:r>
      <w:r w:rsidRPr="00EB487F">
        <w:rPr>
          <w:rFonts w:ascii="Garamond" w:hAnsi="Garamond"/>
        </w:rPr>
        <w:t>Compens</w:t>
      </w:r>
      <w:r>
        <w:rPr>
          <w:rFonts w:ascii="Garamond" w:hAnsi="Garamond"/>
        </w:rPr>
        <w:t>a</w:t>
      </w:r>
      <w:r w:rsidRPr="00EB487F">
        <w:rPr>
          <w:rFonts w:ascii="Garamond" w:hAnsi="Garamond"/>
        </w:rPr>
        <w:t>tion and Commensurability,</w:t>
      </w:r>
      <w:r w:rsidRPr="00D3487F">
        <w:rPr>
          <w:rFonts w:ascii="Garamond" w:hAnsi="Garamond"/>
        </w:rPr>
        <w:t xml:space="preserve"> 45 Duke L.J. 36 (1993); Hershovitz 2011</w:t>
      </w:r>
      <w:r>
        <w:rPr>
          <w:rFonts w:ascii="Garamond" w:hAnsi="Garamond"/>
        </w:rPr>
        <w:t>.  See also</w:t>
      </w:r>
      <w:r w:rsidRPr="00124342">
        <w:rPr>
          <w:rFonts w:ascii="Garamond" w:hAnsi="Garamond"/>
          <w:sz w:val="24"/>
          <w:szCs w:val="24"/>
        </w:rPr>
        <w:t xml:space="preserve"> </w:t>
      </w:r>
      <w:r w:rsidRPr="00124342">
        <w:rPr>
          <w:rFonts w:ascii="Garamond" w:hAnsi="Garamond"/>
        </w:rPr>
        <w:t>Restatement (Second) of Torts § 903 cmt. a (1979)</w:t>
      </w:r>
      <w:r>
        <w:rPr>
          <w:rFonts w:ascii="Garamond" w:hAnsi="Garamond"/>
        </w:rPr>
        <w:t xml:space="preserve"> (damages for pain, humiliation, harm, “</w:t>
      </w:r>
      <w:r w:rsidRPr="00124342">
        <w:rPr>
          <w:rFonts w:ascii="Garamond" w:hAnsi="Garamond"/>
        </w:rPr>
        <w:t>give to the injured person some pecuniary return for what he has suffered or is likely to suffer</w:t>
      </w:r>
      <w:r w:rsidRPr="0070667D">
        <w:rPr>
          <w:rFonts w:asciiTheme="minorHAnsi" w:hAnsiTheme="minorHAnsi"/>
        </w:rPr>
        <w:t>.</w:t>
      </w:r>
      <w:r w:rsidR="005E2BD3">
        <w:rPr>
          <w:rFonts w:asciiTheme="minorHAnsi" w:hAnsiTheme="minorHAnsi"/>
        </w:rPr>
        <w:t>”)</w:t>
      </w:r>
      <w:bookmarkStart w:id="3" w:name="_Hlk75262231"/>
    </w:p>
    <w:bookmarkEnd w:id="3"/>
  </w:footnote>
  <w:footnote w:id="15">
    <w:p w14:paraId="2989187D" w14:textId="7FEAFB51" w:rsidR="00FC6639" w:rsidRPr="002C413C" w:rsidRDefault="00FC6639" w:rsidP="002C413C">
      <w:pPr>
        <w:pStyle w:val="FootnoteText"/>
        <w:spacing w:after="0"/>
        <w:ind w:firstLine="0"/>
        <w:rPr>
          <w:rFonts w:asciiTheme="majorHAnsi" w:hAnsiTheme="majorHAnsi"/>
        </w:rPr>
      </w:pPr>
      <w:r w:rsidRPr="0070667D">
        <w:rPr>
          <w:rStyle w:val="FootnoteReference"/>
          <w:rFonts w:ascii="Garamond" w:hAnsi="Garamond"/>
        </w:rPr>
        <w:footnoteRef/>
      </w:r>
      <w:r w:rsidRPr="0070667D">
        <w:rPr>
          <w:rFonts w:ascii="Garamond" w:hAnsi="Garamond"/>
        </w:rPr>
        <w:t xml:space="preserve"> See Grimshaw v. Ford Motor Co., 174 Cal. Rptr. 348, 388-89 (Cal. App. 1981) (concluding that punitive award of $3.5 million was not excessive in light of Ford’s “conscious and callous disregard of public safety” and “tortious conduct endanger[ing] the lives of thousands of Pinto purchasers”). See also Geistfeld 2011, at 165-69 </w:t>
      </w:r>
      <w:r w:rsidR="005E2BD3">
        <w:rPr>
          <w:rFonts w:ascii="Garamond" w:hAnsi="Garamond"/>
        </w:rPr>
        <w:t>(</w:t>
      </w:r>
      <w:r w:rsidRPr="0070667D">
        <w:rPr>
          <w:rFonts w:ascii="Garamond" w:hAnsi="Garamond"/>
        </w:rPr>
        <w:t xml:space="preserve">discussing how punitive </w:t>
      </w:r>
      <w:r w:rsidRPr="002C413C">
        <w:rPr>
          <w:rFonts w:asciiTheme="majorHAnsi" w:hAnsiTheme="majorHAnsi"/>
        </w:rPr>
        <w:t>damages can provide potential tortfeasors with incentives to discharge their duties of care with great diligence</w:t>
      </w:r>
      <w:r w:rsidR="005E2BD3">
        <w:rPr>
          <w:rFonts w:asciiTheme="majorHAnsi" w:hAnsiTheme="majorHAnsi"/>
        </w:rPr>
        <w:t>)</w:t>
      </w:r>
      <w:r w:rsidRPr="002C413C">
        <w:rPr>
          <w:rFonts w:asciiTheme="majorHAnsi" w:hAnsiTheme="majorHAnsi"/>
        </w:rPr>
        <w:t xml:space="preserve">. </w:t>
      </w:r>
    </w:p>
  </w:footnote>
  <w:footnote w:id="16">
    <w:p w14:paraId="1AF0C350" w14:textId="0311F34C" w:rsidR="00FC6639" w:rsidRPr="0009207C" w:rsidRDefault="00FC6639" w:rsidP="002C413C">
      <w:pPr>
        <w:pStyle w:val="FootnoteText"/>
        <w:spacing w:after="0"/>
        <w:ind w:firstLine="0"/>
        <w:rPr>
          <w:b/>
          <w:bCs/>
        </w:rPr>
      </w:pPr>
      <w:r w:rsidRPr="002C413C">
        <w:rPr>
          <w:rStyle w:val="FootnoteReference"/>
          <w:rFonts w:asciiTheme="majorHAnsi" w:hAnsiTheme="majorHAnsi"/>
        </w:rPr>
        <w:footnoteRef/>
      </w:r>
      <w:r w:rsidRPr="002C413C">
        <w:rPr>
          <w:rFonts w:asciiTheme="majorHAnsi" w:hAnsiTheme="majorHAnsi"/>
        </w:rPr>
        <w:t xml:space="preserve"> Richard A. Posner, A Theory of Negligence, 1 Journal of Legal Studies 29, 92 (1972).</w:t>
      </w:r>
      <w:r>
        <w:t xml:space="preserve"> </w:t>
      </w:r>
    </w:p>
  </w:footnote>
  <w:footnote w:id="17">
    <w:p w14:paraId="1DD4DC98" w14:textId="2CB4E6E0" w:rsidR="00FC6639" w:rsidRPr="00D3487F" w:rsidRDefault="00FC6639" w:rsidP="000D2B6C">
      <w:pPr>
        <w:pStyle w:val="FootnoteText"/>
        <w:spacing w:after="0"/>
        <w:ind w:firstLine="0"/>
        <w:rPr>
          <w:rFonts w:ascii="Garamond" w:hAnsi="Garamond"/>
        </w:rPr>
      </w:pPr>
      <w:r w:rsidRPr="00045C08">
        <w:rPr>
          <w:rStyle w:val="FootnoteReference"/>
          <w:rFonts w:asciiTheme="majorHAnsi" w:hAnsiTheme="majorHAnsi"/>
        </w:rPr>
        <w:footnoteRef/>
      </w:r>
      <w:r w:rsidRPr="00045C08">
        <w:rPr>
          <w:rFonts w:asciiTheme="majorHAnsi" w:hAnsiTheme="majorHAnsi"/>
        </w:rPr>
        <w:t xml:space="preserve"> Geistfeld 2011, at 145.</w:t>
      </w:r>
    </w:p>
  </w:footnote>
  <w:footnote w:id="18">
    <w:p w14:paraId="71C90674" w14:textId="7BC25361" w:rsidR="00FC6639" w:rsidRPr="00D3487F" w:rsidRDefault="00FC6639" w:rsidP="00BD26C7">
      <w:pPr>
        <w:pStyle w:val="FootnoteText"/>
        <w:spacing w:after="0"/>
        <w:ind w:firstLine="0"/>
        <w:rPr>
          <w:rFonts w:ascii="Garamond" w:hAnsi="Garamond"/>
        </w:rPr>
      </w:pPr>
      <w:r w:rsidRPr="00D3487F">
        <w:rPr>
          <w:rStyle w:val="FootnoteReference"/>
          <w:rFonts w:ascii="Garamond" w:hAnsi="Garamond"/>
        </w:rPr>
        <w:footnoteRef/>
      </w:r>
      <w:r w:rsidRPr="00D3487F">
        <w:rPr>
          <w:rFonts w:ascii="Garamond" w:hAnsi="Garamond"/>
        </w:rPr>
        <w:t xml:space="preserve"> </w:t>
      </w:r>
      <w:r>
        <w:rPr>
          <w:rFonts w:ascii="Garamond" w:hAnsi="Garamond"/>
        </w:rPr>
        <w:t>Id.</w:t>
      </w:r>
    </w:p>
  </w:footnote>
  <w:footnote w:id="19">
    <w:p w14:paraId="3AEC8C50" w14:textId="76E131BD" w:rsidR="00FC6639" w:rsidRPr="0030329A" w:rsidRDefault="00FC6639" w:rsidP="000D2B6C">
      <w:pPr>
        <w:pStyle w:val="FootnoteText"/>
        <w:spacing w:after="0"/>
        <w:ind w:firstLine="0"/>
        <w:rPr>
          <w:rFonts w:ascii="Garamond" w:hAnsi="Garamond"/>
        </w:rPr>
      </w:pPr>
      <w:r w:rsidRPr="0030329A">
        <w:rPr>
          <w:rStyle w:val="FootnoteReference"/>
          <w:rFonts w:ascii="Garamond" w:hAnsi="Garamond"/>
        </w:rPr>
        <w:footnoteRef/>
      </w:r>
      <w:r w:rsidRPr="0030329A">
        <w:rPr>
          <w:rFonts w:ascii="Garamond" w:hAnsi="Garamond"/>
        </w:rPr>
        <w:t xml:space="preserve"> </w:t>
      </w:r>
      <w:r>
        <w:rPr>
          <w:rFonts w:ascii="Garamond" w:hAnsi="Garamond"/>
        </w:rPr>
        <w:t xml:space="preserve">Wex Malone, The Genesis of Wrongful Death, </w:t>
      </w:r>
      <w:r w:rsidRPr="0030329A">
        <w:rPr>
          <w:rFonts w:ascii="Garamond" w:hAnsi="Garamond"/>
        </w:rPr>
        <w:t>17 Stan. L. Rev. 1043, 1044 (1965)</w:t>
      </w:r>
      <w:r>
        <w:rPr>
          <w:rFonts w:ascii="Garamond" w:hAnsi="Garamond"/>
        </w:rPr>
        <w:t>.</w:t>
      </w:r>
    </w:p>
  </w:footnote>
  <w:footnote w:id="20">
    <w:p w14:paraId="5BE73551" w14:textId="74B84104" w:rsidR="00FC6639" w:rsidRPr="00325D5A" w:rsidRDefault="00FC6639" w:rsidP="000D2B6C">
      <w:pPr>
        <w:pStyle w:val="FootnoteText"/>
        <w:spacing w:after="0"/>
        <w:ind w:firstLine="0"/>
        <w:rPr>
          <w:rFonts w:ascii="Garamond" w:hAnsi="Garamond"/>
        </w:rPr>
      </w:pPr>
      <w:r>
        <w:rPr>
          <w:rStyle w:val="FootnoteReference"/>
        </w:rPr>
        <w:footnoteRef/>
      </w:r>
      <w:r>
        <w:t xml:space="preserve"> </w:t>
      </w:r>
      <w:r w:rsidRPr="00325D5A">
        <w:rPr>
          <w:rFonts w:ascii="Garamond" w:hAnsi="Garamond"/>
        </w:rPr>
        <w:t xml:space="preserve">See </w:t>
      </w:r>
      <w:r w:rsidRPr="008701BB">
        <w:rPr>
          <w:rFonts w:ascii="Garamond" w:hAnsi="Garamond"/>
          <w:i/>
          <w:iCs/>
        </w:rPr>
        <w:t>e.g.</w:t>
      </w:r>
      <w:r w:rsidRPr="00325D5A">
        <w:rPr>
          <w:rFonts w:ascii="Garamond" w:hAnsi="Garamond"/>
        </w:rPr>
        <w:t xml:space="preserve">, Andrew </w:t>
      </w:r>
      <w:r>
        <w:rPr>
          <w:rFonts w:ascii="Garamond" w:hAnsi="Garamond"/>
        </w:rPr>
        <w:t>J</w:t>
      </w:r>
      <w:r w:rsidRPr="00325D5A">
        <w:rPr>
          <w:rFonts w:ascii="Garamond" w:hAnsi="Garamond"/>
        </w:rPr>
        <w:t>. Mc</w:t>
      </w:r>
      <w:r>
        <w:rPr>
          <w:rFonts w:ascii="Garamond" w:hAnsi="Garamond"/>
        </w:rPr>
        <w:t>C</w:t>
      </w:r>
      <w:r w:rsidRPr="00325D5A">
        <w:rPr>
          <w:rFonts w:ascii="Garamond" w:hAnsi="Garamond"/>
        </w:rPr>
        <w:t xml:space="preserve">lurg, </w:t>
      </w:r>
      <w:r w:rsidRPr="00EB487F">
        <w:rPr>
          <w:rFonts w:ascii="Garamond" w:hAnsi="Garamond"/>
        </w:rPr>
        <w:t xml:space="preserve">Dead Sorrow: A Story About Loss and a New Theory of Wrongful Death Damages, </w:t>
      </w:r>
      <w:r w:rsidRPr="00325D5A">
        <w:rPr>
          <w:rFonts w:ascii="Garamond" w:hAnsi="Garamond"/>
        </w:rPr>
        <w:t xml:space="preserve">85 </w:t>
      </w:r>
      <w:r w:rsidRPr="00325D5A">
        <w:rPr>
          <w:rFonts w:ascii="Garamond" w:hAnsi="Garamond"/>
          <w:smallCaps/>
        </w:rPr>
        <w:t>B.U. L.</w:t>
      </w:r>
      <w:r>
        <w:rPr>
          <w:rFonts w:ascii="Garamond" w:hAnsi="Garamond"/>
          <w:smallCaps/>
        </w:rPr>
        <w:t xml:space="preserve"> </w:t>
      </w:r>
      <w:r>
        <w:rPr>
          <w:rFonts w:ascii="Garamond" w:hAnsi="Garamond"/>
        </w:rPr>
        <w:t>Rev. 1,</w:t>
      </w:r>
      <w:r w:rsidRPr="00325D5A">
        <w:rPr>
          <w:rFonts w:ascii="Garamond" w:hAnsi="Garamond"/>
        </w:rPr>
        <w:t xml:space="preserve"> 6-7, 20-22</w:t>
      </w:r>
      <w:r>
        <w:rPr>
          <w:rFonts w:ascii="Garamond" w:hAnsi="Garamond"/>
        </w:rPr>
        <w:t xml:space="preserve"> (2005)</w:t>
      </w:r>
      <w:r w:rsidRPr="00325D5A">
        <w:rPr>
          <w:rFonts w:ascii="Garamond" w:hAnsi="Garamond"/>
        </w:rPr>
        <w:t xml:space="preserve"> (the decedent’s loss of enjoyment of life is not compensable in the vast majority of jurisdictions). </w:t>
      </w:r>
      <w:r>
        <w:rPr>
          <w:rFonts w:ascii="Garamond" w:hAnsi="Garamond"/>
        </w:rPr>
        <w:t xml:space="preserve">Courts are well aware of this fact and its significance. See </w:t>
      </w:r>
      <w:r w:rsidRPr="002D5108">
        <w:rPr>
          <w:rFonts w:ascii="Garamond" w:hAnsi="Garamond"/>
          <w:i/>
          <w:iCs/>
        </w:rPr>
        <w:t>e.g.</w:t>
      </w:r>
      <w:r>
        <w:rPr>
          <w:rFonts w:ascii="Garamond" w:hAnsi="Garamond"/>
        </w:rPr>
        <w:t xml:space="preserve">, Acosta v. Honda Motor Co., Ltd, 717 F.2d 828, </w:t>
      </w:r>
      <w:r w:rsidR="001B30A6">
        <w:rPr>
          <w:rFonts w:ascii="Garamond" w:hAnsi="Garamond"/>
        </w:rPr>
        <w:t>837</w:t>
      </w:r>
      <w:r>
        <w:rPr>
          <w:rFonts w:ascii="Garamond" w:hAnsi="Garamond"/>
        </w:rPr>
        <w:t xml:space="preserve"> (1983</w:t>
      </w:r>
      <w:r w:rsidR="001B30A6">
        <w:rPr>
          <w:rFonts w:ascii="Garamond" w:hAnsi="Garamond"/>
          <w:bCs/>
        </w:rPr>
        <w:t>)</w:t>
      </w:r>
      <w:r w:rsidRPr="00D03D03">
        <w:rPr>
          <w:rFonts w:ascii="Garamond" w:hAnsi="Garamond"/>
          <w:b/>
        </w:rPr>
        <w:t xml:space="preserve"> </w:t>
      </w:r>
      <w:r w:rsidR="00BF45D8">
        <w:rPr>
          <w:rFonts w:ascii="Garamond" w:hAnsi="Garamond"/>
          <w:b/>
        </w:rPr>
        <w:t>(</w:t>
      </w:r>
      <w:r>
        <w:rPr>
          <w:rFonts w:ascii="Garamond" w:hAnsi="Garamond"/>
        </w:rPr>
        <w:t xml:space="preserve">“[C]ompensatory damages </w:t>
      </w:r>
      <w:r w:rsidRPr="00D03D03">
        <w:rPr>
          <w:rFonts w:ascii="Garamond" w:hAnsi="Garamond"/>
        </w:rPr>
        <w:t>m</w:t>
      </w:r>
      <w:r>
        <w:rPr>
          <w:rFonts w:ascii="Garamond" w:hAnsi="Garamond"/>
        </w:rPr>
        <w:t>a</w:t>
      </w:r>
      <w:r w:rsidRPr="00D03D03">
        <w:rPr>
          <w:rFonts w:ascii="Garamond" w:hAnsi="Garamond"/>
        </w:rPr>
        <w:t>y</w:t>
      </w:r>
      <w:r>
        <w:rPr>
          <w:rFonts w:ascii="Garamond" w:hAnsi="Garamond"/>
        </w:rPr>
        <w:t xml:space="preserve"> prove an inadequate deterrent even when victims do bring suit. Current doctrine does not for example, allow the estate of a decedent killed by a defective product to recover the value of the life to the decedent himself, recovery is instead limited to the pecuniary loss to those immediately surrounding the decedent.”</w:t>
      </w:r>
      <w:r w:rsidR="005E2BD3">
        <w:rPr>
          <w:rFonts w:ascii="Garamond" w:hAnsi="Garamond"/>
        </w:rPr>
        <w:t xml:space="preserve">) </w:t>
      </w:r>
      <w:r>
        <w:rPr>
          <w:rFonts w:ascii="Garamond" w:hAnsi="Garamond"/>
        </w:rPr>
        <w:t>Quiroz v. Seventh Ave Center, 140 Cal.App.4</w:t>
      </w:r>
      <w:r w:rsidRPr="004048BF">
        <w:rPr>
          <w:rFonts w:ascii="Garamond" w:hAnsi="Garamond"/>
          <w:vertAlign w:val="superscript"/>
        </w:rPr>
        <w:t>th</w:t>
      </w:r>
      <w:r>
        <w:rPr>
          <w:rFonts w:ascii="Garamond" w:hAnsi="Garamond"/>
        </w:rPr>
        <w:t xml:space="preserve"> 1256, 1264 (2006) (citations omitted) observed “At common law, personal tort claims expired when either the victim or the tortfeasor died. Today, a cause of action for wrongful death exists only by virtue of legislative grace. The statutorily created ‘wrongful death’ cause of action does not effect a survival of the decedent’s cause of action. [Instead,] it gives to the representative a totally new right of action, on different principles.”</w:t>
      </w:r>
    </w:p>
  </w:footnote>
  <w:footnote w:id="21">
    <w:p w14:paraId="3A5A5C81" w14:textId="5FF22632" w:rsidR="00FC6639" w:rsidRPr="003A2FD4" w:rsidRDefault="00FC6639" w:rsidP="000D2B6C">
      <w:pPr>
        <w:pStyle w:val="FootnoteText"/>
        <w:spacing w:after="0"/>
        <w:ind w:firstLine="0"/>
        <w:rPr>
          <w:rFonts w:ascii="Garamond" w:hAnsi="Garamond"/>
        </w:rPr>
      </w:pPr>
      <w:r>
        <w:rPr>
          <w:rStyle w:val="FootnoteReference"/>
        </w:rPr>
        <w:footnoteRef/>
      </w:r>
      <w:r>
        <w:t xml:space="preserve"> </w:t>
      </w:r>
      <w:r>
        <w:rPr>
          <w:rFonts w:ascii="Garamond" w:hAnsi="Garamond"/>
        </w:rPr>
        <w:t xml:space="preserve">Malone 1965, at 1044. </w:t>
      </w:r>
    </w:p>
  </w:footnote>
  <w:footnote w:id="22">
    <w:p w14:paraId="14604232" w14:textId="3242F6D5" w:rsidR="00FC6639" w:rsidRPr="003B4794" w:rsidRDefault="00FC6639" w:rsidP="000D2B6C">
      <w:pPr>
        <w:pStyle w:val="FootnoteText"/>
        <w:spacing w:after="0"/>
        <w:ind w:firstLine="0"/>
        <w:rPr>
          <w:rFonts w:ascii="Garamond" w:hAnsi="Garamond"/>
        </w:rPr>
      </w:pPr>
      <w:r>
        <w:rPr>
          <w:rStyle w:val="FootnoteReference"/>
        </w:rPr>
        <w:footnoteRef/>
      </w:r>
      <w:r>
        <w:t xml:space="preserve"> </w:t>
      </w:r>
      <w:r w:rsidRPr="00F0044D">
        <w:rPr>
          <w:rFonts w:ascii="Garamond" w:hAnsi="Garamond"/>
        </w:rPr>
        <w:t xml:space="preserve">The history of wrongful death is recounted in </w:t>
      </w:r>
      <w:r w:rsidRPr="002C220F">
        <w:rPr>
          <w:rFonts w:ascii="Garamond" w:hAnsi="Garamond"/>
        </w:rPr>
        <w:t>Malone 1965 and John F. Witt, From Loss of Service to Loss of Support: The Wrongful Death Statutes, the Origins of Modern Tort Law, and the Making of the Nineteenth Century Family, 25 Law and Soc. Inquiry 717, 733-37 (2000).</w:t>
      </w:r>
      <w:r w:rsidRPr="003B4794">
        <w:rPr>
          <w:rFonts w:ascii="Garamond" w:hAnsi="Garamond"/>
        </w:rPr>
        <w:t xml:space="preserve"> </w:t>
      </w:r>
    </w:p>
  </w:footnote>
  <w:footnote w:id="23">
    <w:p w14:paraId="0DAB8555" w14:textId="6B0D0B08" w:rsidR="00FC6639" w:rsidRPr="00991441" w:rsidRDefault="00FC6639" w:rsidP="000D2B6C">
      <w:pPr>
        <w:pStyle w:val="FootnoteText"/>
        <w:spacing w:after="0"/>
        <w:ind w:firstLine="0"/>
        <w:rPr>
          <w:rFonts w:ascii="Garamond" w:hAnsi="Garamond"/>
        </w:rPr>
      </w:pPr>
      <w:r w:rsidRPr="00991441">
        <w:rPr>
          <w:rStyle w:val="FootnoteReference"/>
          <w:rFonts w:ascii="Garamond" w:hAnsi="Garamond"/>
        </w:rPr>
        <w:footnoteRef/>
      </w:r>
      <w:r w:rsidRPr="00991441">
        <w:rPr>
          <w:rFonts w:ascii="Garamond" w:hAnsi="Garamond"/>
        </w:rPr>
        <w:t xml:space="preserve"> </w:t>
      </w:r>
      <w:r>
        <w:rPr>
          <w:rFonts w:ascii="Garamond" w:hAnsi="Garamond"/>
        </w:rPr>
        <w:t>Dobbs 2016, at 686. “Survival statutes provide for the survival of whatever tort cause of action the deceased herself would have had if she had been able to sue at the moment of her death.” (Defining survival statutes). “Wrongful death statutes, by contrast, create a new action in favor of certain beneficiaries who suffer from another’s death.” (Defining wrongful death statutes and contrasting them with survival statutes).</w:t>
      </w:r>
    </w:p>
  </w:footnote>
  <w:footnote w:id="24">
    <w:p w14:paraId="150DD868" w14:textId="5BA33A8D" w:rsidR="00FC6639" w:rsidRPr="00D641C7" w:rsidRDefault="00FC6639" w:rsidP="000D2B6C">
      <w:pPr>
        <w:pStyle w:val="FootnoteText"/>
        <w:spacing w:after="0"/>
        <w:ind w:firstLine="0"/>
        <w:rPr>
          <w:rFonts w:ascii="Garamond" w:hAnsi="Garamond"/>
        </w:rPr>
      </w:pPr>
      <w:r w:rsidRPr="00D641C7">
        <w:rPr>
          <w:rStyle w:val="FootnoteReference"/>
          <w:rFonts w:ascii="Garamond" w:hAnsi="Garamond"/>
        </w:rPr>
        <w:footnoteRef/>
      </w:r>
      <w:r w:rsidRPr="00D641C7">
        <w:rPr>
          <w:rFonts w:ascii="Garamond" w:hAnsi="Garamond"/>
        </w:rPr>
        <w:t xml:space="preserve"> </w:t>
      </w:r>
      <w:r>
        <w:rPr>
          <w:rFonts w:ascii="Garamond" w:hAnsi="Garamond"/>
        </w:rPr>
        <w:t>Dobbs 2016, at 686. “In the latter half of the 19th century, following the lead of . . . Lord Campbell’s Act, the American states addressed the problem by legislation which remains the source of almost all rights arising out of a person’s death</w:t>
      </w:r>
      <w:r w:rsidR="005E2BD3">
        <w:rPr>
          <w:rFonts w:ascii="Garamond" w:hAnsi="Garamond"/>
        </w:rPr>
        <w:t>.”</w:t>
      </w:r>
    </w:p>
  </w:footnote>
  <w:footnote w:id="25">
    <w:p w14:paraId="562873C9" w14:textId="4EFE6A38" w:rsidR="00FC6639" w:rsidRPr="00991441" w:rsidRDefault="00FC6639" w:rsidP="000D2B6C">
      <w:pPr>
        <w:pStyle w:val="FootnoteText"/>
        <w:spacing w:after="0"/>
        <w:ind w:firstLine="0"/>
        <w:rPr>
          <w:rFonts w:ascii="Garamond" w:hAnsi="Garamond"/>
        </w:rPr>
      </w:pPr>
      <w:r w:rsidRPr="00991441">
        <w:rPr>
          <w:rStyle w:val="FootnoteReference"/>
          <w:rFonts w:ascii="Garamond" w:hAnsi="Garamond"/>
        </w:rPr>
        <w:footnoteRef/>
      </w:r>
      <w:r w:rsidRPr="00991441">
        <w:rPr>
          <w:rFonts w:ascii="Garamond" w:hAnsi="Garamond"/>
        </w:rPr>
        <w:t xml:space="preserve"> Dobbs 2000</w:t>
      </w:r>
      <w:r>
        <w:rPr>
          <w:rFonts w:ascii="Garamond" w:hAnsi="Garamond"/>
        </w:rPr>
        <w:t>,</w:t>
      </w:r>
      <w:r w:rsidRPr="00991441">
        <w:rPr>
          <w:rFonts w:ascii="Garamond" w:hAnsi="Garamond"/>
        </w:rPr>
        <w:t xml:space="preserve"> at </w:t>
      </w:r>
      <w:r>
        <w:rPr>
          <w:rFonts w:ascii="Garamond" w:hAnsi="Garamond"/>
        </w:rPr>
        <w:t>686.</w:t>
      </w:r>
    </w:p>
  </w:footnote>
  <w:footnote w:id="26">
    <w:p w14:paraId="41C9651F" w14:textId="200A160E" w:rsidR="00FC6639" w:rsidRPr="00397341" w:rsidRDefault="00FC6639" w:rsidP="00AD2D71">
      <w:pPr>
        <w:pStyle w:val="FootnoteText"/>
        <w:spacing w:after="0"/>
        <w:ind w:firstLine="0"/>
        <w:rPr>
          <w:b/>
          <w:bCs/>
        </w:rPr>
      </w:pPr>
      <w:r>
        <w:rPr>
          <w:rStyle w:val="FootnoteReference"/>
        </w:rPr>
        <w:footnoteRef/>
      </w:r>
      <w:r>
        <w:t xml:space="preserve"> </w:t>
      </w:r>
      <w:r w:rsidRPr="00033DE3">
        <w:rPr>
          <w:rFonts w:asciiTheme="majorHAnsi" w:hAnsiTheme="majorHAnsi"/>
        </w:rPr>
        <w:t>Otani v. Broudy, 59 P.3d 126, 129 (</w:t>
      </w:r>
      <w:r>
        <w:rPr>
          <w:rFonts w:asciiTheme="majorHAnsi" w:hAnsiTheme="majorHAnsi"/>
        </w:rPr>
        <w:t xml:space="preserve">Wash Ct. App. </w:t>
      </w:r>
      <w:r w:rsidRPr="00033DE3">
        <w:rPr>
          <w:rFonts w:asciiTheme="majorHAnsi" w:hAnsiTheme="majorHAnsi"/>
        </w:rPr>
        <w:t>2002). See also Keene v. Brigham &amp; Women’s Hosp., Inc., 775 N.E.2d 725, 739 (Mass. App. Ct. 2002) (concluding that there should be no award of damages for loss of enjoyment of life when the “plaintiff lacks the cognitive awareness of his loss”), modified on other grounds, 786 N.E.2d 824 (Mass. 2003</w:t>
      </w:r>
      <w:r w:rsidRPr="00AD04FD">
        <w:rPr>
          <w:rFonts w:asciiTheme="majorHAnsi" w:hAnsiTheme="majorHAnsi"/>
        </w:rPr>
        <w:t>);</w:t>
      </w:r>
      <w:r w:rsidRPr="00033DE3">
        <w:rPr>
          <w:rFonts w:asciiTheme="majorHAnsi" w:hAnsiTheme="majorHAnsi"/>
          <w:b/>
          <w:bCs/>
        </w:rPr>
        <w:t xml:space="preserve"> </w:t>
      </w:r>
      <w:r w:rsidRPr="00033DE3">
        <w:rPr>
          <w:rFonts w:asciiTheme="majorHAnsi" w:hAnsiTheme="majorHAnsi"/>
        </w:rPr>
        <w:t>Dan B. Dobbs, Law of Remedies: Damages, Equity, Restitution 678 (3d ed. 2018) (noting that “[c]ourts have rejected a pain and suffering claim when the plaintiff is not aware of pain, as where he is comatose” (citing Leiker v. Gafford, 778 P.2d 823 (Kan. 1989)).</w:t>
      </w:r>
    </w:p>
  </w:footnote>
  <w:footnote w:id="27">
    <w:p w14:paraId="7E0CF926" w14:textId="0BFC5EF9" w:rsidR="00FC6639" w:rsidRPr="0033268A" w:rsidRDefault="00FC6639" w:rsidP="00AD2D71">
      <w:pPr>
        <w:pStyle w:val="FootnoteText"/>
        <w:spacing w:after="0"/>
        <w:ind w:firstLine="0"/>
        <w:rPr>
          <w:rFonts w:ascii="Garamond" w:hAnsi="Garamond"/>
        </w:rPr>
      </w:pPr>
      <w:r w:rsidRPr="0033268A">
        <w:rPr>
          <w:rStyle w:val="FootnoteReference"/>
          <w:rFonts w:ascii="Garamond" w:hAnsi="Garamond"/>
        </w:rPr>
        <w:footnoteRef/>
      </w:r>
      <w:r w:rsidRPr="0033268A">
        <w:rPr>
          <w:rFonts w:ascii="Garamond" w:hAnsi="Garamond"/>
        </w:rPr>
        <w:t xml:space="preserve"> Mattyasovszky v. West Towns Bus Co., 61 Ill.2d, 31, </w:t>
      </w:r>
      <w:r>
        <w:rPr>
          <w:rFonts w:ascii="Garamond" w:hAnsi="Garamond"/>
        </w:rPr>
        <w:t>38</w:t>
      </w:r>
      <w:r w:rsidRPr="0033268A">
        <w:rPr>
          <w:rFonts w:ascii="Garamond" w:hAnsi="Garamond"/>
        </w:rPr>
        <w:t xml:space="preserve"> (1975)</w:t>
      </w:r>
      <w:r>
        <w:rPr>
          <w:rFonts w:ascii="Garamond" w:hAnsi="Garamond"/>
        </w:rPr>
        <w:t>. The remark is made in a dissenting opinion which would have upheld the award of punitive damages that he majority overturned.</w:t>
      </w:r>
    </w:p>
  </w:footnote>
  <w:footnote w:id="28">
    <w:p w14:paraId="6EFE6E93" w14:textId="145D5EC4" w:rsidR="00FC6639" w:rsidRPr="0033268A" w:rsidRDefault="00FC6639" w:rsidP="00AD2D71">
      <w:pPr>
        <w:pStyle w:val="FootnoteText"/>
        <w:spacing w:after="0"/>
        <w:ind w:firstLine="0"/>
        <w:rPr>
          <w:rFonts w:ascii="Garamond" w:hAnsi="Garamond"/>
        </w:rPr>
      </w:pPr>
      <w:r w:rsidRPr="0033268A">
        <w:rPr>
          <w:rStyle w:val="FootnoteReference"/>
          <w:rFonts w:ascii="Garamond" w:hAnsi="Garamond"/>
        </w:rPr>
        <w:footnoteRef/>
      </w:r>
      <w:r w:rsidRPr="0033268A">
        <w:rPr>
          <w:rFonts w:ascii="Garamond" w:hAnsi="Garamond"/>
        </w:rPr>
        <w:t xml:space="preserve"> See Geistfeld 2011, at 159-60. </w:t>
      </w:r>
      <w:r>
        <w:rPr>
          <w:rFonts w:ascii="Garamond" w:hAnsi="Garamond"/>
        </w:rPr>
        <w:t xml:space="preserve"> Richard Pierce, Jr. Encouraging Safety: The Limits of Tort Law and Government Regulation 33 Vand. L. Rev. 1281, 1290-95 (1980) perceptively discusses how the tort law of wrongful death is constructed in such a way that it grievously undercompensates in cases of child victims.</w:t>
      </w:r>
    </w:p>
  </w:footnote>
  <w:footnote w:id="29">
    <w:p w14:paraId="52E09216" w14:textId="54B2AE5E" w:rsidR="00FC6639" w:rsidRPr="008C7A0D" w:rsidRDefault="00FC6639" w:rsidP="00AD2D71">
      <w:pPr>
        <w:pStyle w:val="FootnoteText"/>
        <w:spacing w:after="0"/>
        <w:ind w:firstLine="0"/>
        <w:rPr>
          <w:rFonts w:asciiTheme="minorHAnsi" w:hAnsiTheme="minorHAnsi"/>
          <w:b/>
        </w:rPr>
      </w:pPr>
      <w:r w:rsidRPr="008C7A0D">
        <w:rPr>
          <w:rStyle w:val="FootnoteReference"/>
          <w:rFonts w:asciiTheme="minorHAnsi" w:hAnsiTheme="minorHAnsi"/>
        </w:rPr>
        <w:footnoteRef/>
      </w:r>
      <w:r w:rsidRPr="008C7A0D">
        <w:rPr>
          <w:rFonts w:asciiTheme="minorHAnsi" w:hAnsiTheme="minorHAnsi"/>
        </w:rPr>
        <w:t xml:space="preserve"> Geistfeld 2011, at 165-69. </w:t>
      </w:r>
      <w:r w:rsidR="001A71B5" w:rsidRPr="008C7A0D">
        <w:rPr>
          <w:rFonts w:asciiTheme="minorHAnsi" w:hAnsiTheme="minorHAnsi"/>
        </w:rPr>
        <w:t>Erik Encarnacion, Resilience, Retribution, and Punitive Damages, 100 Tex. L. Rev. (forthcoming 2021) (SSRN manuscript at 5-6), https://ssrn.com/abstract=3859554.</w:t>
      </w:r>
    </w:p>
  </w:footnote>
  <w:footnote w:id="30">
    <w:p w14:paraId="4F3513C7" w14:textId="19E7B613" w:rsidR="00FC6639" w:rsidRPr="00EB50D1" w:rsidRDefault="00FC6639">
      <w:pPr>
        <w:pStyle w:val="FootnoteText"/>
        <w:spacing w:after="0"/>
        <w:ind w:firstLine="0"/>
        <w:rPr>
          <w:rFonts w:ascii="Garamond" w:hAnsi="Garamond"/>
        </w:rPr>
      </w:pPr>
      <w:r w:rsidRPr="00EB50D1">
        <w:rPr>
          <w:rStyle w:val="FootnoteReference"/>
          <w:rFonts w:ascii="Garamond" w:hAnsi="Garamond"/>
        </w:rPr>
        <w:footnoteRef/>
      </w:r>
      <w:r w:rsidRPr="00EB50D1">
        <w:rPr>
          <w:rFonts w:ascii="Garamond" w:hAnsi="Garamond"/>
        </w:rPr>
        <w:t xml:space="preserve"> Paul Krugman, </w:t>
      </w:r>
      <w:r w:rsidRPr="0017028C">
        <w:rPr>
          <w:rFonts w:ascii="Garamond" w:hAnsi="Garamond"/>
          <w:iCs/>
        </w:rPr>
        <w:t xml:space="preserve">Mornings in Blue America, </w:t>
      </w:r>
      <w:r w:rsidRPr="006A4A22">
        <w:rPr>
          <w:rFonts w:ascii="Garamond" w:hAnsi="Garamond"/>
        </w:rPr>
        <w:t>New York</w:t>
      </w:r>
      <w:r w:rsidRPr="00EB50D1">
        <w:rPr>
          <w:rFonts w:ascii="Garamond" w:hAnsi="Garamond"/>
          <w:smallCaps/>
        </w:rPr>
        <w:t xml:space="preserve"> </w:t>
      </w:r>
      <w:r>
        <w:rPr>
          <w:rFonts w:ascii="Garamond" w:hAnsi="Garamond"/>
        </w:rPr>
        <w:t>Times (</w:t>
      </w:r>
      <w:r w:rsidRPr="00EB50D1">
        <w:rPr>
          <w:rFonts w:ascii="Garamond" w:hAnsi="Garamond"/>
        </w:rPr>
        <w:t>Mar</w:t>
      </w:r>
      <w:r>
        <w:rPr>
          <w:rFonts w:ascii="Garamond" w:hAnsi="Garamond"/>
        </w:rPr>
        <w:t>.</w:t>
      </w:r>
      <w:r w:rsidRPr="00EB50D1">
        <w:rPr>
          <w:rFonts w:ascii="Garamond" w:hAnsi="Garamond"/>
        </w:rPr>
        <w:t xml:space="preserve"> 27, 2015</w:t>
      </w:r>
      <w:r>
        <w:rPr>
          <w:rFonts w:ascii="Garamond" w:hAnsi="Garamond"/>
        </w:rPr>
        <w:t xml:space="preserve">). </w:t>
      </w:r>
    </w:p>
  </w:footnote>
  <w:footnote w:id="31">
    <w:p w14:paraId="61AAFAEC" w14:textId="41E3FD8F" w:rsidR="00FC6639" w:rsidRPr="000C55B4" w:rsidRDefault="00FC6639" w:rsidP="00033DE3">
      <w:pPr>
        <w:pStyle w:val="FootnoteText"/>
        <w:spacing w:after="0"/>
        <w:ind w:firstLine="0"/>
        <w:rPr>
          <w:rFonts w:asciiTheme="minorHAnsi" w:hAnsiTheme="minorHAnsi"/>
        </w:rPr>
      </w:pPr>
      <w:r w:rsidRPr="000C55B4">
        <w:rPr>
          <w:rStyle w:val="FootnoteReference"/>
          <w:rFonts w:asciiTheme="minorHAnsi" w:hAnsiTheme="minorHAnsi"/>
        </w:rPr>
        <w:footnoteRef/>
      </w:r>
      <w:r w:rsidRPr="000C55B4">
        <w:rPr>
          <w:rFonts w:asciiTheme="minorHAnsi" w:hAnsiTheme="minorHAnsi"/>
        </w:rPr>
        <w:t xml:space="preserve"> How Safe is Safe Enough? (discussing autonomous vehicle</w:t>
      </w:r>
      <w:r>
        <w:rPr>
          <w:rFonts w:asciiTheme="minorHAnsi" w:hAnsiTheme="minorHAnsi"/>
        </w:rPr>
        <w:t>s),</w:t>
      </w:r>
      <w:r w:rsidRPr="000C55B4">
        <w:rPr>
          <w:rFonts w:asciiTheme="minorHAnsi" w:hAnsiTheme="minorHAnsi"/>
          <w:u w:val="words"/>
        </w:rPr>
        <w:t xml:space="preserve"> </w:t>
      </w:r>
      <w:r w:rsidRPr="0072576C">
        <w:rPr>
          <w:rFonts w:asciiTheme="minorHAnsi" w:hAnsiTheme="minorHAnsi"/>
        </w:rPr>
        <w:t>Consumer Reports</w:t>
      </w:r>
      <w:r w:rsidRPr="000C55B4">
        <w:rPr>
          <w:rFonts w:asciiTheme="minorHAnsi" w:hAnsiTheme="minorHAnsi"/>
        </w:rPr>
        <w:t xml:space="preserve"> </w:t>
      </w:r>
      <w:r>
        <w:rPr>
          <w:rFonts w:asciiTheme="minorHAnsi" w:hAnsiTheme="minorHAnsi"/>
        </w:rPr>
        <w:t>p. 15 (</w:t>
      </w:r>
      <w:r w:rsidRPr="000C55B4">
        <w:rPr>
          <w:rFonts w:asciiTheme="minorHAnsi" w:hAnsiTheme="minorHAnsi"/>
        </w:rPr>
        <w:t>Apr</w:t>
      </w:r>
      <w:r>
        <w:rPr>
          <w:rFonts w:asciiTheme="minorHAnsi" w:hAnsiTheme="minorHAnsi"/>
        </w:rPr>
        <w:t>.</w:t>
      </w:r>
      <w:r w:rsidRPr="000C55B4">
        <w:rPr>
          <w:rFonts w:asciiTheme="minorHAnsi" w:hAnsiTheme="minorHAnsi"/>
        </w:rPr>
        <w:t xml:space="preserve"> 2017</w:t>
      </w:r>
      <w:r>
        <w:rPr>
          <w:rFonts w:asciiTheme="minorHAnsi" w:hAnsiTheme="minorHAnsi"/>
        </w:rPr>
        <w:t>)</w:t>
      </w:r>
      <w:r w:rsidRPr="000C55B4">
        <w:rPr>
          <w:rFonts w:asciiTheme="minorHAnsi" w:hAnsiTheme="minorHAnsi"/>
        </w:rPr>
        <w:t xml:space="preserve">. </w:t>
      </w:r>
    </w:p>
  </w:footnote>
  <w:footnote w:id="32">
    <w:p w14:paraId="7A8B2B3A" w14:textId="202295C0" w:rsidR="00FC6639" w:rsidRPr="00EB50D1" w:rsidRDefault="00FC6639" w:rsidP="00EC2E91">
      <w:pPr>
        <w:pStyle w:val="FootnoteText"/>
        <w:spacing w:after="0"/>
        <w:ind w:firstLine="0"/>
        <w:rPr>
          <w:rFonts w:ascii="Garamond" w:hAnsi="Garamond"/>
        </w:rPr>
      </w:pPr>
      <w:r w:rsidRPr="00EB50D1">
        <w:rPr>
          <w:rStyle w:val="FootnoteReference"/>
          <w:rFonts w:ascii="Garamond" w:hAnsi="Garamond"/>
        </w:rPr>
        <w:footnoteRef/>
      </w:r>
      <w:r w:rsidRPr="00EB50D1">
        <w:rPr>
          <w:rFonts w:ascii="Garamond" w:hAnsi="Garamond"/>
        </w:rPr>
        <w:t xml:space="preserve"> </w:t>
      </w:r>
      <w:r w:rsidRPr="001E39B3">
        <w:rPr>
          <w:rFonts w:ascii="Garamond" w:hAnsi="Garamond"/>
          <w:iCs/>
        </w:rPr>
        <w:t>See, infra</w:t>
      </w:r>
      <w:r w:rsidRPr="00EB50D1">
        <w:rPr>
          <w:rFonts w:ascii="Garamond" w:hAnsi="Garamond"/>
        </w:rPr>
        <w:t xml:space="preserve"> Section II.B. </w:t>
      </w:r>
    </w:p>
  </w:footnote>
  <w:footnote w:id="33">
    <w:p w14:paraId="6C70C2EC" w14:textId="5A462C5E" w:rsidR="00FC6639" w:rsidRPr="00EB50D1" w:rsidRDefault="00FC6639" w:rsidP="000D2B6C">
      <w:pPr>
        <w:pStyle w:val="FootnoteText"/>
        <w:spacing w:after="0"/>
        <w:ind w:firstLine="0"/>
        <w:rPr>
          <w:rFonts w:ascii="Garamond" w:hAnsi="Garamond"/>
        </w:rPr>
      </w:pPr>
      <w:r w:rsidRPr="00EB50D1">
        <w:rPr>
          <w:rStyle w:val="FootnoteReference"/>
          <w:rFonts w:ascii="Garamond" w:hAnsi="Garamond"/>
        </w:rPr>
        <w:footnoteRef/>
      </w:r>
      <w:r w:rsidRPr="00EB50D1">
        <w:rPr>
          <w:rFonts w:ascii="Garamond" w:hAnsi="Garamond"/>
        </w:rPr>
        <w:t xml:space="preserve">  Jonathan S. Masur &amp; Eric A. Posner, </w:t>
      </w:r>
      <w:r w:rsidRPr="00E1535E">
        <w:rPr>
          <w:rFonts w:ascii="Garamond" w:hAnsi="Garamond"/>
          <w:iCs/>
        </w:rPr>
        <w:t>Against Feasibility Analysis,</w:t>
      </w:r>
      <w:r w:rsidRPr="00EB50D1">
        <w:rPr>
          <w:rFonts w:ascii="Garamond" w:hAnsi="Garamond"/>
        </w:rPr>
        <w:t xml:space="preserve"> 77</w:t>
      </w:r>
      <w:r>
        <w:rPr>
          <w:rFonts w:ascii="Garamond" w:hAnsi="Garamond"/>
        </w:rPr>
        <w:t xml:space="preserve"> U. Chi. L. Rev.</w:t>
      </w:r>
      <w:r w:rsidRPr="00EB50D1">
        <w:rPr>
          <w:rFonts w:ascii="Garamond" w:hAnsi="Garamond"/>
        </w:rPr>
        <w:t xml:space="preserve"> 657, 707, 709 (2010).</w:t>
      </w:r>
      <w:r>
        <w:rPr>
          <w:rFonts w:ascii="Garamond" w:hAnsi="Garamond"/>
        </w:rPr>
        <w:t xml:space="preserve"> </w:t>
      </w:r>
    </w:p>
  </w:footnote>
  <w:footnote w:id="34">
    <w:p w14:paraId="151E8AC5" w14:textId="1DE25814" w:rsidR="00FC6639" w:rsidRPr="00272085" w:rsidRDefault="00FC6639" w:rsidP="000D2B6C">
      <w:pPr>
        <w:pStyle w:val="FootnoteText"/>
        <w:spacing w:after="0"/>
        <w:ind w:firstLine="0"/>
        <w:rPr>
          <w:rFonts w:ascii="Garamond" w:hAnsi="Garamond"/>
        </w:rPr>
      </w:pPr>
      <w:r w:rsidRPr="00272085">
        <w:rPr>
          <w:rStyle w:val="FootnoteReference"/>
          <w:rFonts w:ascii="Garamond" w:hAnsi="Garamond"/>
        </w:rPr>
        <w:footnoteRef/>
      </w:r>
      <w:r w:rsidRPr="00272085">
        <w:rPr>
          <w:rFonts w:ascii="Garamond" w:hAnsi="Garamond"/>
        </w:rPr>
        <w:t xml:space="preserve"> </w:t>
      </w:r>
      <w:r w:rsidRPr="00EB50D1">
        <w:rPr>
          <w:rFonts w:ascii="Garamond" w:hAnsi="Garamond"/>
        </w:rPr>
        <w:t xml:space="preserve">Barbara Fried, </w:t>
      </w:r>
      <w:r w:rsidRPr="00E1535E">
        <w:rPr>
          <w:rFonts w:ascii="Garamond" w:hAnsi="Garamond"/>
          <w:iCs/>
        </w:rPr>
        <w:t>The Limits of a Nonconsequentialist Approach to Torts,</w:t>
      </w:r>
      <w:r w:rsidRPr="00EB50D1">
        <w:rPr>
          <w:rFonts w:ascii="Garamond" w:hAnsi="Garamond"/>
        </w:rPr>
        <w:t xml:space="preserve"> 18</w:t>
      </w:r>
      <w:r>
        <w:rPr>
          <w:rFonts w:ascii="Garamond" w:hAnsi="Garamond"/>
        </w:rPr>
        <w:t xml:space="preserve"> Legal Theory</w:t>
      </w:r>
      <w:r w:rsidRPr="00EB50D1">
        <w:rPr>
          <w:rFonts w:ascii="Garamond" w:hAnsi="Garamond"/>
        </w:rPr>
        <w:t xml:space="preserve"> 231, 231 (2012).</w:t>
      </w:r>
    </w:p>
  </w:footnote>
  <w:footnote w:id="35">
    <w:p w14:paraId="729711CD" w14:textId="3DFCE0F7" w:rsidR="00FC6639" w:rsidRPr="00272085" w:rsidRDefault="00FC6639" w:rsidP="000D2B6C">
      <w:pPr>
        <w:pStyle w:val="FootnoteText"/>
        <w:spacing w:after="0"/>
        <w:ind w:firstLine="0"/>
        <w:rPr>
          <w:rFonts w:ascii="Garamond" w:hAnsi="Garamond"/>
        </w:rPr>
      </w:pPr>
      <w:r w:rsidRPr="00272085">
        <w:rPr>
          <w:rStyle w:val="FootnoteReference"/>
          <w:rFonts w:ascii="Garamond" w:hAnsi="Garamond"/>
        </w:rPr>
        <w:footnoteRef/>
      </w:r>
      <w:r w:rsidRPr="00272085">
        <w:rPr>
          <w:rFonts w:ascii="Garamond" w:hAnsi="Garamond"/>
        </w:rPr>
        <w:t xml:space="preserve"> Cass R. Sunstein, </w:t>
      </w:r>
      <w:r w:rsidRPr="00AC5E5D">
        <w:rPr>
          <w:rFonts w:ascii="Garamond" w:hAnsi="Garamond"/>
          <w:iCs/>
        </w:rPr>
        <w:t>Humanizing Cost-Benefit Analysis,</w:t>
      </w:r>
      <w:r w:rsidRPr="00272085">
        <w:rPr>
          <w:rFonts w:ascii="Garamond" w:hAnsi="Garamond"/>
        </w:rPr>
        <w:t xml:space="preserve"> Remarks Prepared for American University’s Washington College of Law </w:t>
      </w:r>
      <w:r w:rsidRPr="00AC5E5D">
        <w:rPr>
          <w:rFonts w:ascii="Garamond" w:hAnsi="Garamond"/>
          <w:iCs/>
        </w:rPr>
        <w:t>Administrative Law Review</w:t>
      </w:r>
      <w:r w:rsidRPr="00272085">
        <w:rPr>
          <w:rFonts w:ascii="Garamond" w:hAnsi="Garamond"/>
        </w:rPr>
        <w:t xml:space="preserve"> Conference,</w:t>
      </w:r>
      <w:r>
        <w:rPr>
          <w:rFonts w:ascii="Garamond" w:hAnsi="Garamond"/>
        </w:rPr>
        <w:t xml:space="preserve"> 13, 20</w:t>
      </w:r>
      <w:r w:rsidRPr="00272085">
        <w:rPr>
          <w:rFonts w:ascii="Garamond" w:hAnsi="Garamond"/>
        </w:rPr>
        <w:t xml:space="preserve"> </w:t>
      </w:r>
      <w:r>
        <w:rPr>
          <w:rFonts w:ascii="Garamond" w:hAnsi="Garamond"/>
        </w:rPr>
        <w:t>(</w:t>
      </w:r>
      <w:r w:rsidRPr="00272085">
        <w:rPr>
          <w:rFonts w:ascii="Garamond" w:hAnsi="Garamond"/>
        </w:rPr>
        <w:t>Feb</w:t>
      </w:r>
      <w:r>
        <w:rPr>
          <w:rFonts w:ascii="Garamond" w:hAnsi="Garamond"/>
        </w:rPr>
        <w:t>.</w:t>
      </w:r>
      <w:r w:rsidRPr="00272085">
        <w:rPr>
          <w:rFonts w:ascii="Garamond" w:hAnsi="Garamond"/>
        </w:rPr>
        <w:t xml:space="preserve"> 17, 2010</w:t>
      </w:r>
      <w:r>
        <w:rPr>
          <w:rFonts w:ascii="Garamond" w:hAnsi="Garamond"/>
        </w:rPr>
        <w:t xml:space="preserve">) </w:t>
      </w:r>
      <w:r w:rsidRPr="00272085">
        <w:rPr>
          <w:rFonts w:ascii="Garamond" w:hAnsi="Garamond"/>
        </w:rPr>
        <w:t xml:space="preserve">(“it would be premature to say that CBA has received the kind of social consensus now commanded by economic incentives and deregulation of airlines, trucking and railroads. I believe that CBA should command such a consensus, at least as a presumption, and that the presumption in favor of CBA should operate regardless of political commitments.”). </w:t>
      </w:r>
      <w:r w:rsidRPr="00C31E4C">
        <w:rPr>
          <w:rFonts w:ascii="Garamond" w:hAnsi="Garamond"/>
          <w:iCs/>
        </w:rPr>
        <w:t>See also</w:t>
      </w:r>
      <w:r>
        <w:rPr>
          <w:rFonts w:ascii="Garamond" w:hAnsi="Garamond"/>
          <w:iCs/>
        </w:rPr>
        <w:t>, Cass R. Sunstein, The Cost-Benefit State</w:t>
      </w:r>
      <w:r w:rsidRPr="00272085">
        <w:rPr>
          <w:rFonts w:ascii="Garamond" w:hAnsi="Garamond"/>
        </w:rPr>
        <w:t xml:space="preserve"> ix, 19 (</w:t>
      </w:r>
      <w:r>
        <w:rPr>
          <w:rFonts w:ascii="Garamond" w:hAnsi="Garamond"/>
        </w:rPr>
        <w:t xml:space="preserve">ABA, </w:t>
      </w:r>
      <w:r w:rsidRPr="00272085">
        <w:rPr>
          <w:rFonts w:ascii="Garamond" w:hAnsi="Garamond"/>
        </w:rPr>
        <w:t>200</w:t>
      </w:r>
      <w:r>
        <w:rPr>
          <w:rFonts w:ascii="Garamond" w:hAnsi="Garamond"/>
        </w:rPr>
        <w:t>3</w:t>
      </w:r>
      <w:r w:rsidRPr="00272085">
        <w:rPr>
          <w:rFonts w:ascii="Garamond" w:hAnsi="Garamond"/>
        </w:rPr>
        <w:t xml:space="preserve">); Cass R. Sunstein, </w:t>
      </w:r>
      <w:r w:rsidRPr="00D267A3">
        <w:rPr>
          <w:rFonts w:ascii="Garamond" w:hAnsi="Garamond"/>
          <w:iCs/>
        </w:rPr>
        <w:t>The Real World of Cost-Benefit Analysis</w:t>
      </w:r>
      <w:r>
        <w:rPr>
          <w:rFonts w:ascii="Garamond" w:hAnsi="Garamond"/>
          <w:iCs/>
        </w:rPr>
        <w:t>: Thirty-Six Questions (And Almost as Many Answers)</w:t>
      </w:r>
      <w:r w:rsidRPr="00D267A3">
        <w:rPr>
          <w:rFonts w:ascii="Garamond" w:hAnsi="Garamond"/>
          <w:iCs/>
        </w:rPr>
        <w:t>,</w:t>
      </w:r>
      <w:r w:rsidRPr="00272085">
        <w:rPr>
          <w:rFonts w:ascii="Garamond" w:hAnsi="Garamond"/>
        </w:rPr>
        <w:t xml:space="preserve"> 114</w:t>
      </w:r>
      <w:r>
        <w:rPr>
          <w:rFonts w:ascii="Garamond" w:hAnsi="Garamond"/>
        </w:rPr>
        <w:t xml:space="preserve"> Colum. L. Rev.</w:t>
      </w:r>
      <w:r w:rsidRPr="00272085">
        <w:rPr>
          <w:rFonts w:ascii="Garamond" w:hAnsi="Garamond"/>
        </w:rPr>
        <w:t xml:space="preserve"> 167 (2014); Cass R. Sunstein, </w:t>
      </w:r>
      <w:r w:rsidRPr="00D267A3">
        <w:rPr>
          <w:rFonts w:ascii="Garamond" w:hAnsi="Garamond"/>
        </w:rPr>
        <w:t>Thanks, Justice Scalia, for the Cost-Benefit State,</w:t>
      </w:r>
      <w:r>
        <w:rPr>
          <w:rFonts w:ascii="Garamond" w:hAnsi="Garamond"/>
        </w:rPr>
        <w:t xml:space="preserve"> Bloomberg Opinion,</w:t>
      </w:r>
      <w:r w:rsidRPr="00272085">
        <w:rPr>
          <w:rFonts w:ascii="Garamond" w:hAnsi="Garamond"/>
          <w:smallCaps/>
        </w:rPr>
        <w:t xml:space="preserve"> </w:t>
      </w:r>
      <w:r w:rsidRPr="00272085">
        <w:rPr>
          <w:rFonts w:ascii="Garamond" w:hAnsi="Garamond"/>
        </w:rPr>
        <w:t xml:space="preserve">19 (Jul. 7, 2015) (praising the Supreme Court’s decision in </w:t>
      </w:r>
      <w:r w:rsidRPr="00272085">
        <w:rPr>
          <w:rFonts w:ascii="Garamond" w:hAnsi="Garamond"/>
          <w:i/>
        </w:rPr>
        <w:t>Michigan v. EPA</w:t>
      </w:r>
      <w:r w:rsidRPr="00272085">
        <w:rPr>
          <w:rFonts w:ascii="Garamond" w:hAnsi="Garamond"/>
        </w:rPr>
        <w:t xml:space="preserve"> “as a ringing endorsement of cost-benefit analysis by government agencies”).</w:t>
      </w:r>
    </w:p>
  </w:footnote>
  <w:footnote w:id="36">
    <w:p w14:paraId="2892DCAF" w14:textId="37935D35" w:rsidR="00FC6639" w:rsidRPr="00272085" w:rsidRDefault="00FC6639" w:rsidP="000D2B6C">
      <w:pPr>
        <w:pStyle w:val="FootnoteText"/>
        <w:spacing w:after="0"/>
        <w:ind w:firstLine="0"/>
        <w:rPr>
          <w:rFonts w:ascii="Garamond" w:hAnsi="Garamond"/>
        </w:rPr>
      </w:pPr>
      <w:r w:rsidRPr="00272085">
        <w:rPr>
          <w:rStyle w:val="FootnoteReference"/>
          <w:rFonts w:ascii="Garamond" w:hAnsi="Garamond"/>
        </w:rPr>
        <w:footnoteRef/>
      </w:r>
      <w:r w:rsidRPr="00272085">
        <w:rPr>
          <w:rFonts w:ascii="Garamond" w:hAnsi="Garamond"/>
        </w:rPr>
        <w:t xml:space="preserve"> </w:t>
      </w:r>
      <w:r w:rsidRPr="00D267A3">
        <w:rPr>
          <w:rFonts w:ascii="Garamond" w:hAnsi="Garamond"/>
          <w:iCs/>
        </w:rPr>
        <w:t>See Cass R. Sunstein, Risk and Reason: Safety, Law, and the Environment</w:t>
      </w:r>
      <w:r>
        <w:rPr>
          <w:rFonts w:ascii="Garamond" w:hAnsi="Garamond"/>
          <w:iCs/>
        </w:rPr>
        <w:t xml:space="preserve"> </w:t>
      </w:r>
      <w:r>
        <w:rPr>
          <w:rFonts w:ascii="Garamond" w:hAnsi="Garamond"/>
          <w:smallCaps/>
        </w:rPr>
        <w:t xml:space="preserve">7 </w:t>
      </w:r>
      <w:r>
        <w:rPr>
          <w:rFonts w:ascii="Garamond" w:hAnsi="Garamond"/>
          <w:iCs/>
        </w:rPr>
        <w:t>(Cambridge, 2002)</w:t>
      </w:r>
      <w:r w:rsidRPr="00272085">
        <w:rPr>
          <w:rFonts w:ascii="Garamond" w:hAnsi="Garamond"/>
        </w:rPr>
        <w:t>.</w:t>
      </w:r>
    </w:p>
  </w:footnote>
  <w:footnote w:id="37">
    <w:p w14:paraId="32EA85A6" w14:textId="4FA396E8" w:rsidR="00FC6639" w:rsidRPr="008762F2" w:rsidRDefault="00FC6639" w:rsidP="000D2B6C">
      <w:pPr>
        <w:pStyle w:val="FootnoteText"/>
        <w:spacing w:after="0"/>
        <w:ind w:firstLine="0"/>
        <w:rPr>
          <w:rFonts w:asciiTheme="majorHAnsi" w:hAnsiTheme="majorHAnsi"/>
        </w:rPr>
      </w:pPr>
      <w:r w:rsidRPr="00EB50D1">
        <w:rPr>
          <w:rStyle w:val="FootnoteReference"/>
          <w:rFonts w:ascii="Garamond" w:hAnsi="Garamond"/>
        </w:rPr>
        <w:footnoteRef/>
      </w:r>
      <w:r w:rsidRPr="00EB50D1">
        <w:rPr>
          <w:rFonts w:ascii="Garamond" w:hAnsi="Garamond"/>
        </w:rPr>
        <w:t xml:space="preserve"> </w:t>
      </w:r>
      <w:r w:rsidRPr="001E39B3">
        <w:rPr>
          <w:rFonts w:ascii="Garamond" w:hAnsi="Garamond"/>
          <w:iCs/>
        </w:rPr>
        <w:t>See Michigan v. EPA,</w:t>
      </w:r>
      <w:r w:rsidRPr="00EB50D1">
        <w:rPr>
          <w:rFonts w:ascii="Garamond" w:hAnsi="Garamond"/>
        </w:rPr>
        <w:t xml:space="preserve"> 135 S.Ct. 2699, 2707-08 (2015).</w:t>
      </w:r>
    </w:p>
  </w:footnote>
  <w:footnote w:id="38">
    <w:p w14:paraId="3E784A81" w14:textId="700FD398" w:rsidR="00FC6639" w:rsidRPr="00456E9B" w:rsidRDefault="00FC6639" w:rsidP="000D2B6C">
      <w:pPr>
        <w:pStyle w:val="FootnoteText"/>
        <w:spacing w:after="0"/>
        <w:ind w:firstLine="0"/>
        <w:rPr>
          <w:rFonts w:asciiTheme="majorHAnsi" w:hAnsiTheme="majorHAnsi"/>
        </w:rPr>
      </w:pPr>
      <w:r w:rsidRPr="008762F2">
        <w:rPr>
          <w:rStyle w:val="FootnoteReference"/>
          <w:rFonts w:asciiTheme="majorHAnsi" w:hAnsiTheme="majorHAnsi"/>
        </w:rPr>
        <w:footnoteRef/>
      </w:r>
      <w:r>
        <w:rPr>
          <w:rFonts w:asciiTheme="majorHAnsi" w:hAnsiTheme="majorHAnsi"/>
        </w:rPr>
        <w:t xml:space="preserve"> Guido Calabresi, The Costs of Accidents, esp. at 24-26 (Yale, 1970). See also Guido Calabresi, </w:t>
      </w:r>
      <w:r w:rsidRPr="00D30A72">
        <w:rPr>
          <w:rFonts w:asciiTheme="majorHAnsi" w:hAnsiTheme="majorHAnsi"/>
        </w:rPr>
        <w:t>An Exchange: About Law and Economics: A Letter to Ronald Dworkin,</w:t>
      </w:r>
      <w:r>
        <w:rPr>
          <w:rFonts w:asciiTheme="majorHAnsi" w:hAnsiTheme="majorHAnsi"/>
        </w:rPr>
        <w:t xml:space="preserve"> 8 Hofstra L. Rev. 553 (1980) and Ronald Dworkin, </w:t>
      </w:r>
      <w:r w:rsidRPr="00D30A72">
        <w:rPr>
          <w:rFonts w:asciiTheme="majorHAnsi" w:hAnsiTheme="majorHAnsi"/>
          <w:iCs/>
        </w:rPr>
        <w:t>Why Efficiency? – A Response to Professors Calabresi and Posner</w:t>
      </w:r>
      <w:r>
        <w:rPr>
          <w:rFonts w:asciiTheme="majorHAnsi" w:hAnsiTheme="majorHAnsi"/>
          <w:iCs/>
        </w:rPr>
        <w:t>,</w:t>
      </w:r>
      <w:r w:rsidRPr="00D30A72">
        <w:rPr>
          <w:rFonts w:asciiTheme="majorHAnsi" w:hAnsiTheme="majorHAnsi"/>
          <w:iCs/>
        </w:rPr>
        <w:t xml:space="preserve"> 8 Hofstra L. Rev.</w:t>
      </w:r>
      <w:r>
        <w:rPr>
          <w:rFonts w:asciiTheme="majorHAnsi" w:hAnsiTheme="majorHAnsi"/>
        </w:rPr>
        <w:t xml:space="preserve"> 563 (1980). </w:t>
      </w:r>
    </w:p>
  </w:footnote>
  <w:footnote w:id="39">
    <w:p w14:paraId="471C9969" w14:textId="49B59046" w:rsidR="00FC6639" w:rsidRPr="00877C60" w:rsidRDefault="00FC6639" w:rsidP="00877C60">
      <w:pPr>
        <w:pStyle w:val="FootnoteText"/>
        <w:spacing w:after="0"/>
        <w:ind w:firstLine="0"/>
        <w:rPr>
          <w:rFonts w:asciiTheme="majorHAnsi" w:hAnsiTheme="majorHAnsi"/>
        </w:rPr>
      </w:pPr>
      <w:r w:rsidRPr="00456E9B">
        <w:rPr>
          <w:rStyle w:val="FootnoteReference"/>
          <w:rFonts w:asciiTheme="majorHAnsi" w:hAnsiTheme="majorHAnsi"/>
        </w:rPr>
        <w:footnoteRef/>
      </w:r>
      <w:r>
        <w:rPr>
          <w:rFonts w:asciiTheme="majorHAnsi" w:hAnsiTheme="majorHAnsi"/>
        </w:rPr>
        <w:t xml:space="preserve"> Louis Kaplow &amp; </w:t>
      </w:r>
      <w:r w:rsidRPr="00877C60">
        <w:rPr>
          <w:rFonts w:asciiTheme="majorHAnsi" w:hAnsiTheme="majorHAnsi"/>
        </w:rPr>
        <w:t>Steven Shavell, Fairness Versus Welfare (Harvard, 2002).</w:t>
      </w:r>
    </w:p>
  </w:footnote>
  <w:footnote w:id="40">
    <w:p w14:paraId="1C1C4A46" w14:textId="3C901D5B" w:rsidR="00FC6639" w:rsidRPr="00877C60" w:rsidRDefault="00FC6639" w:rsidP="00877C60">
      <w:pPr>
        <w:pStyle w:val="FootnoteText"/>
        <w:spacing w:after="0"/>
        <w:ind w:firstLine="0"/>
        <w:rPr>
          <w:rFonts w:asciiTheme="majorHAnsi" w:hAnsiTheme="majorHAnsi"/>
        </w:rPr>
      </w:pPr>
      <w:r w:rsidRPr="00877C60">
        <w:rPr>
          <w:rStyle w:val="FootnoteReference"/>
          <w:rFonts w:asciiTheme="majorHAnsi" w:hAnsiTheme="majorHAnsi"/>
        </w:rPr>
        <w:footnoteRef/>
      </w:r>
      <w:r w:rsidRPr="00877C60">
        <w:rPr>
          <w:rFonts w:asciiTheme="majorHAnsi" w:hAnsiTheme="majorHAnsi"/>
        </w:rPr>
        <w:t xml:space="preserve"> See especially, John Oberdiek, Imposing Risk: A Normative Framework (Oxford, 2017). </w:t>
      </w:r>
    </w:p>
  </w:footnote>
  <w:footnote w:id="41">
    <w:p w14:paraId="69CF818D" w14:textId="0864CC3A" w:rsidR="00FC6639" w:rsidRPr="00CC7D68" w:rsidRDefault="00FC6639" w:rsidP="00877C60">
      <w:pPr>
        <w:pStyle w:val="FootnoteText"/>
        <w:spacing w:after="0"/>
        <w:ind w:firstLine="0"/>
        <w:rPr>
          <w:rFonts w:asciiTheme="minorHAnsi" w:hAnsiTheme="minorHAnsi"/>
          <w:b/>
          <w:bCs/>
        </w:rPr>
      </w:pPr>
      <w:r w:rsidRPr="00877C60">
        <w:rPr>
          <w:rStyle w:val="FootnoteReference"/>
          <w:rFonts w:asciiTheme="majorHAnsi" w:hAnsiTheme="majorHAnsi"/>
        </w:rPr>
        <w:footnoteRef/>
      </w:r>
      <w:r w:rsidRPr="00877C60">
        <w:rPr>
          <w:rFonts w:asciiTheme="majorHAnsi" w:hAnsiTheme="majorHAnsi"/>
        </w:rPr>
        <w:t xml:space="preserve"> The contemporary debate arises out of Scanlon’s discussion of aggregation in T.M. Scanlon, What We Owe to Each Other 229-41 (Harvard,</w:t>
      </w:r>
      <w:r>
        <w:rPr>
          <w:rFonts w:asciiTheme="minorHAnsi" w:hAnsiTheme="minorHAnsi"/>
        </w:rPr>
        <w:t xml:space="preserve"> 1998). For an instructive recent discussion see Johann Frick, </w:t>
      </w:r>
      <w:r w:rsidRPr="00E23ADE">
        <w:rPr>
          <w:rFonts w:asciiTheme="minorHAnsi" w:hAnsiTheme="minorHAnsi"/>
          <w:iCs/>
        </w:rPr>
        <w:t>Contractualism and Social Risk,</w:t>
      </w:r>
      <w:r>
        <w:rPr>
          <w:rFonts w:asciiTheme="minorHAnsi" w:hAnsiTheme="minorHAnsi"/>
        </w:rPr>
        <w:t xml:space="preserve"> 43 Philosophy and Public Affairs 175 (2015). Professor Fried is an important contributor to this debate. See Barbara Fried, </w:t>
      </w:r>
      <w:r w:rsidRPr="00E23ADE">
        <w:rPr>
          <w:rFonts w:asciiTheme="minorHAnsi" w:hAnsiTheme="minorHAnsi"/>
          <w:iCs/>
        </w:rPr>
        <w:t>Can Contractualism Save Us From Aggregation?</w:t>
      </w:r>
      <w:r>
        <w:rPr>
          <w:rFonts w:asciiTheme="minorHAnsi" w:hAnsiTheme="minorHAnsi"/>
          <w:iCs/>
        </w:rPr>
        <w:t>,</w:t>
      </w:r>
      <w:r>
        <w:rPr>
          <w:rFonts w:asciiTheme="minorHAnsi" w:hAnsiTheme="minorHAnsi"/>
        </w:rPr>
        <w:t xml:space="preserve"> 16 Journal of Ethics 39 (2011).</w:t>
      </w:r>
      <w:bookmarkStart w:id="7" w:name="_Hlk75513610"/>
    </w:p>
    <w:bookmarkEnd w:id="7"/>
  </w:footnote>
  <w:footnote w:id="42">
    <w:p w14:paraId="0979658E" w14:textId="628335CF" w:rsidR="00FC6639" w:rsidRPr="001877AD" w:rsidRDefault="00FC6639" w:rsidP="000D2B6C">
      <w:pPr>
        <w:pStyle w:val="FootnoteText"/>
        <w:spacing w:after="0"/>
        <w:ind w:firstLine="0"/>
        <w:rPr>
          <w:rFonts w:asciiTheme="minorHAnsi" w:hAnsiTheme="minorHAnsi"/>
        </w:rPr>
      </w:pPr>
      <w:r w:rsidRPr="001877AD">
        <w:rPr>
          <w:rStyle w:val="FootnoteReference"/>
          <w:rFonts w:asciiTheme="minorHAnsi" w:hAnsiTheme="minorHAnsi"/>
        </w:rPr>
        <w:footnoteRef/>
      </w:r>
      <w:r>
        <w:rPr>
          <w:rFonts w:asciiTheme="minorHAnsi" w:hAnsiTheme="minorHAnsi"/>
        </w:rPr>
        <w:t xml:space="preserve"> Ronald Dworkin, </w:t>
      </w:r>
      <w:r w:rsidRPr="00F02532">
        <w:rPr>
          <w:rFonts w:asciiTheme="minorHAnsi" w:hAnsiTheme="minorHAnsi"/>
          <w:iCs/>
        </w:rPr>
        <w:t>Is Wealth a Value</w:t>
      </w:r>
      <w:r>
        <w:rPr>
          <w:rFonts w:asciiTheme="minorHAnsi" w:hAnsiTheme="minorHAnsi"/>
          <w:iCs/>
        </w:rPr>
        <w:t>?</w:t>
      </w:r>
      <w:r w:rsidRPr="00F02532">
        <w:rPr>
          <w:rFonts w:asciiTheme="minorHAnsi" w:hAnsiTheme="minorHAnsi"/>
          <w:iCs/>
        </w:rPr>
        <w:t>,</w:t>
      </w:r>
      <w:r>
        <w:rPr>
          <w:rFonts w:asciiTheme="minorHAnsi" w:hAnsiTheme="minorHAnsi"/>
        </w:rPr>
        <w:t xml:space="preserve"> 9 J. Leg. Stud. 191 (1980).</w:t>
      </w:r>
    </w:p>
  </w:footnote>
  <w:footnote w:id="43">
    <w:p w14:paraId="1DF41C2A" w14:textId="1EEC0013" w:rsidR="00FC6639" w:rsidRPr="00272085" w:rsidRDefault="00FC6639" w:rsidP="000D2B6C">
      <w:pPr>
        <w:pStyle w:val="FootnoteText"/>
        <w:spacing w:after="0"/>
        <w:ind w:firstLine="0"/>
        <w:rPr>
          <w:rFonts w:ascii="Garamond" w:hAnsi="Garamond"/>
        </w:rPr>
      </w:pPr>
      <w:r w:rsidRPr="00272085">
        <w:rPr>
          <w:rStyle w:val="FootnoteReference"/>
          <w:rFonts w:ascii="Garamond" w:hAnsi="Garamond"/>
        </w:rPr>
        <w:footnoteRef/>
      </w:r>
      <w:r>
        <w:rPr>
          <w:rFonts w:ascii="Garamond" w:hAnsi="Garamond"/>
        </w:rPr>
        <w:t xml:space="preserve"> Kaplow and Shavell 2002 ass</w:t>
      </w:r>
      <w:r w:rsidRPr="00EB50D1">
        <w:rPr>
          <w:rFonts w:ascii="Garamond" w:hAnsi="Garamond"/>
        </w:rPr>
        <w:t xml:space="preserve">umes both that welfare is the touchstone of economic analysis and that welfare is the only ultimate value. Most proponents of cost-benefit analysis identify it as welfarist. </w:t>
      </w:r>
      <w:r w:rsidRPr="0029768F">
        <w:rPr>
          <w:rFonts w:ascii="Garamond" w:hAnsi="Garamond"/>
        </w:rPr>
        <w:t xml:space="preserve">See </w:t>
      </w:r>
      <w:r w:rsidRPr="00AD04FD">
        <w:rPr>
          <w:rFonts w:ascii="Garamond" w:hAnsi="Garamond"/>
          <w:i/>
          <w:iCs/>
        </w:rPr>
        <w:t>e.g.</w:t>
      </w:r>
      <w:r w:rsidRPr="0029768F">
        <w:rPr>
          <w:rFonts w:ascii="Garamond" w:hAnsi="Garamond"/>
        </w:rPr>
        <w:t>,</w:t>
      </w:r>
      <w:r w:rsidRPr="00EB50D1">
        <w:rPr>
          <w:rFonts w:ascii="Garamond" w:hAnsi="Garamond"/>
          <w:i/>
        </w:rPr>
        <w:t xml:space="preserve"> </w:t>
      </w:r>
      <w:r w:rsidRPr="00EB50D1">
        <w:rPr>
          <w:rFonts w:ascii="Garamond" w:hAnsi="Garamond"/>
        </w:rPr>
        <w:t xml:space="preserve">Michael A. Livermore &amp; Richard L. Revesz, </w:t>
      </w:r>
      <w:r w:rsidRPr="00786DB0">
        <w:rPr>
          <w:rFonts w:ascii="Garamond" w:hAnsi="Garamond"/>
          <w:iCs/>
        </w:rPr>
        <w:t xml:space="preserve">Rethinking Health-Based Environmental Standards and Cost-Benefit Analysis, </w:t>
      </w:r>
      <w:r w:rsidRPr="00EB50D1">
        <w:rPr>
          <w:rFonts w:ascii="Garamond" w:hAnsi="Garamond"/>
        </w:rPr>
        <w:t>46</w:t>
      </w:r>
      <w:r>
        <w:rPr>
          <w:rFonts w:ascii="Garamond" w:hAnsi="Garamond"/>
        </w:rPr>
        <w:t xml:space="preserve"> Environmental Law Reporter </w:t>
      </w:r>
      <w:r w:rsidRPr="00EB50D1">
        <w:rPr>
          <w:rFonts w:ascii="Garamond" w:hAnsi="Garamond"/>
        </w:rPr>
        <w:t>10674, 10675 (2016). (“Cost-benefit analysis . . . places both costs and benefits along a common metric and supports the standard that maximizes net benefits (the difference between benefits and cost). As practiced in the United States . . . cost-benefit analysis is grounded on a welfare economic conception of social good . . .</w:t>
      </w:r>
      <w:r>
        <w:rPr>
          <w:rFonts w:ascii="Garamond" w:hAnsi="Garamond"/>
        </w:rPr>
        <w:t xml:space="preserve"> .</w:t>
      </w:r>
      <w:r w:rsidRPr="00EB50D1">
        <w:rPr>
          <w:rFonts w:ascii="Garamond" w:hAnsi="Garamond"/>
        </w:rPr>
        <w:t xml:space="preserve">” ); </w:t>
      </w:r>
      <w:r>
        <w:rPr>
          <w:rFonts w:ascii="Garamond" w:hAnsi="Garamond"/>
        </w:rPr>
        <w:t xml:space="preserve">Peter Schuck, Why Government Fails So Often: And How it Can Do Better 45 </w:t>
      </w:r>
      <w:r w:rsidRPr="00EB50D1">
        <w:rPr>
          <w:rFonts w:ascii="Garamond" w:hAnsi="Garamond"/>
        </w:rPr>
        <w:t>(</w:t>
      </w:r>
      <w:r>
        <w:rPr>
          <w:rFonts w:ascii="Garamond" w:hAnsi="Garamond"/>
        </w:rPr>
        <w:t xml:space="preserve">Princeton, </w:t>
      </w:r>
      <w:r w:rsidRPr="00EB50D1">
        <w:rPr>
          <w:rFonts w:ascii="Garamond" w:hAnsi="Garamond"/>
        </w:rPr>
        <w:t xml:space="preserve">2014) (“CBA is a welfarist decision-making tool, focusing on the actual consequences of policies for human well-being.”). </w:t>
      </w:r>
    </w:p>
  </w:footnote>
  <w:footnote w:id="44">
    <w:p w14:paraId="259FA804" w14:textId="411FE1DE" w:rsidR="00FC6639" w:rsidRPr="00B823B8" w:rsidRDefault="00FC6639" w:rsidP="000D2B6C">
      <w:pPr>
        <w:pStyle w:val="FootnoteText"/>
        <w:spacing w:after="0"/>
        <w:ind w:firstLine="0"/>
        <w:rPr>
          <w:rFonts w:asciiTheme="minorHAnsi" w:hAnsiTheme="minorHAnsi"/>
        </w:rPr>
      </w:pPr>
      <w:r w:rsidRPr="00B823B8">
        <w:rPr>
          <w:rStyle w:val="FootnoteReference"/>
          <w:rFonts w:asciiTheme="minorHAnsi" w:hAnsiTheme="minorHAnsi"/>
        </w:rPr>
        <w:footnoteRef/>
      </w:r>
      <w:r w:rsidRPr="00B823B8">
        <w:rPr>
          <w:rFonts w:asciiTheme="minorHAnsi" w:hAnsiTheme="minorHAnsi"/>
        </w:rPr>
        <w:t xml:space="preserve"> Louis Kaplow &amp; Steven Shavell</w:t>
      </w:r>
      <w:r>
        <w:rPr>
          <w:rFonts w:asciiTheme="minorHAnsi" w:hAnsiTheme="minorHAnsi"/>
        </w:rPr>
        <w:t>,</w:t>
      </w:r>
      <w:r w:rsidRPr="00B823B8">
        <w:rPr>
          <w:rFonts w:asciiTheme="minorHAnsi" w:hAnsiTheme="minorHAnsi"/>
        </w:rPr>
        <w:t xml:space="preserve"> </w:t>
      </w:r>
      <w:r w:rsidRPr="00F276F7">
        <w:rPr>
          <w:rFonts w:asciiTheme="minorHAnsi" w:hAnsiTheme="minorHAnsi"/>
          <w:iCs/>
        </w:rPr>
        <w:t>Why the Legal System is Less Efficient than the Income Tax in Redistributing Income,</w:t>
      </w:r>
      <w:r>
        <w:rPr>
          <w:rFonts w:asciiTheme="minorHAnsi" w:hAnsiTheme="minorHAnsi"/>
          <w:iCs/>
        </w:rPr>
        <w:t xml:space="preserve"> 23 J. Legal Stud.</w:t>
      </w:r>
      <w:r>
        <w:rPr>
          <w:rFonts w:asciiTheme="minorHAnsi" w:hAnsiTheme="minorHAnsi"/>
        </w:rPr>
        <w:t xml:space="preserve"> </w:t>
      </w:r>
      <w:r w:rsidRPr="00B823B8">
        <w:rPr>
          <w:rFonts w:asciiTheme="minorHAnsi" w:hAnsiTheme="minorHAnsi"/>
        </w:rPr>
        <w:t>667 (1994</w:t>
      </w:r>
      <w:r w:rsidRPr="00AB3076">
        <w:rPr>
          <w:rFonts w:asciiTheme="minorHAnsi" w:hAnsiTheme="minorHAnsi"/>
          <w:iCs/>
        </w:rPr>
        <w:t>);</w:t>
      </w:r>
      <w:r w:rsidRPr="00B823B8">
        <w:rPr>
          <w:rFonts w:asciiTheme="minorHAnsi" w:hAnsiTheme="minorHAnsi"/>
          <w:i/>
        </w:rPr>
        <w:t xml:space="preserve"> </w:t>
      </w:r>
      <w:r w:rsidRPr="00F276F7">
        <w:rPr>
          <w:rFonts w:asciiTheme="minorHAnsi" w:hAnsiTheme="minorHAnsi"/>
          <w:iCs/>
        </w:rPr>
        <w:t>Should Legal Rules Favor the Poor?</w:t>
      </w:r>
      <w:r>
        <w:rPr>
          <w:rFonts w:asciiTheme="minorHAnsi" w:hAnsiTheme="minorHAnsi"/>
          <w:iCs/>
        </w:rPr>
        <w:t>,</w:t>
      </w:r>
      <w:r w:rsidRPr="00F276F7">
        <w:rPr>
          <w:rFonts w:asciiTheme="minorHAnsi" w:hAnsiTheme="minorHAnsi"/>
          <w:iCs/>
        </w:rPr>
        <w:t xml:space="preserve"> 29 J. Legal Stud.</w:t>
      </w:r>
      <w:r>
        <w:rPr>
          <w:rFonts w:asciiTheme="minorHAnsi" w:hAnsiTheme="minorHAnsi"/>
          <w:i/>
        </w:rPr>
        <w:t xml:space="preserve"> </w:t>
      </w:r>
      <w:r w:rsidRPr="00B823B8">
        <w:rPr>
          <w:rFonts w:asciiTheme="minorHAnsi" w:hAnsiTheme="minorHAnsi"/>
        </w:rPr>
        <w:t>821</w:t>
      </w:r>
      <w:r>
        <w:rPr>
          <w:rFonts w:asciiTheme="minorHAnsi" w:hAnsiTheme="minorHAnsi"/>
        </w:rPr>
        <w:t xml:space="preserve"> </w:t>
      </w:r>
      <w:r w:rsidRPr="00B823B8">
        <w:rPr>
          <w:rFonts w:asciiTheme="minorHAnsi" w:hAnsiTheme="minorHAnsi"/>
        </w:rPr>
        <w:t xml:space="preserve">(2000). </w:t>
      </w:r>
    </w:p>
  </w:footnote>
  <w:footnote w:id="45">
    <w:p w14:paraId="665937FE" w14:textId="636006DC" w:rsidR="00FC6639" w:rsidRPr="00384B9E" w:rsidRDefault="00FC6639" w:rsidP="000D2B6C">
      <w:pPr>
        <w:pStyle w:val="FootnoteText"/>
        <w:spacing w:after="0"/>
        <w:ind w:firstLine="0"/>
        <w:rPr>
          <w:rFonts w:asciiTheme="minorHAnsi" w:hAnsiTheme="minorHAnsi"/>
        </w:rPr>
      </w:pPr>
      <w:r w:rsidRPr="00384B9E">
        <w:rPr>
          <w:rStyle w:val="FootnoteReference"/>
          <w:rFonts w:asciiTheme="minorHAnsi" w:hAnsiTheme="minorHAnsi"/>
        </w:rPr>
        <w:footnoteRef/>
      </w:r>
      <w:r>
        <w:rPr>
          <w:rFonts w:asciiTheme="minorHAnsi" w:hAnsiTheme="minorHAnsi"/>
        </w:rPr>
        <w:t xml:space="preserve"> </w:t>
      </w:r>
      <w:r w:rsidRPr="004B5726">
        <w:rPr>
          <w:rFonts w:asciiTheme="minorHAnsi" w:hAnsiTheme="minorHAnsi"/>
        </w:rPr>
        <w:t xml:space="preserve">For </w:t>
      </w:r>
      <w:r>
        <w:rPr>
          <w:rFonts w:asciiTheme="minorHAnsi" w:hAnsiTheme="minorHAnsi"/>
        </w:rPr>
        <w:t xml:space="preserve">discussion of the diversity of valuable things and </w:t>
      </w:r>
      <w:r w:rsidRPr="004B5726">
        <w:rPr>
          <w:rFonts w:asciiTheme="minorHAnsi" w:hAnsiTheme="minorHAnsi"/>
        </w:rPr>
        <w:t>criticism of the idea that welfare is a master value,</w:t>
      </w:r>
      <w:r w:rsidRPr="007C530F">
        <w:rPr>
          <w:rFonts w:asciiTheme="minorHAnsi" w:hAnsiTheme="minorHAnsi"/>
          <w:iCs/>
        </w:rPr>
        <w:t xml:space="preserve"> see Sca</w:t>
      </w:r>
      <w:r>
        <w:rPr>
          <w:rFonts w:asciiTheme="minorHAnsi" w:hAnsiTheme="minorHAnsi"/>
          <w:iCs/>
        </w:rPr>
        <w:t>n</w:t>
      </w:r>
      <w:r w:rsidRPr="007C530F">
        <w:rPr>
          <w:rFonts w:asciiTheme="minorHAnsi" w:hAnsiTheme="minorHAnsi"/>
          <w:iCs/>
        </w:rPr>
        <w:t>lon 1998, at 79-143.</w:t>
      </w:r>
    </w:p>
  </w:footnote>
  <w:footnote w:id="46">
    <w:p w14:paraId="3A9A499E" w14:textId="6376FA8A" w:rsidR="00FC6639" w:rsidRPr="00A07EC1" w:rsidRDefault="00FC6639" w:rsidP="000D2B6C">
      <w:pPr>
        <w:pStyle w:val="FootnoteText"/>
        <w:spacing w:after="0"/>
        <w:ind w:firstLine="0"/>
        <w:rPr>
          <w:rFonts w:ascii="Garamond" w:hAnsi="Garamond"/>
        </w:rPr>
      </w:pPr>
      <w:r w:rsidRPr="00A07EC1">
        <w:rPr>
          <w:rStyle w:val="FootnoteReference"/>
        </w:rPr>
        <w:footnoteRef/>
      </w:r>
      <w:r w:rsidRPr="00A07EC1">
        <w:rPr>
          <w:rFonts w:ascii="Garamond" w:hAnsi="Garamond"/>
          <w:color w:val="FF0000"/>
        </w:rPr>
        <w:t xml:space="preserve"> </w:t>
      </w:r>
      <w:r w:rsidRPr="00A07EC1">
        <w:rPr>
          <w:rFonts w:ascii="Garamond" w:hAnsi="Garamond"/>
        </w:rPr>
        <w:t>Seana Shiffrin, Harm and its Moral Significance, 18 Legal Theory 357 (2012).</w:t>
      </w:r>
    </w:p>
  </w:footnote>
  <w:footnote w:id="47">
    <w:p w14:paraId="6FFD10F8" w14:textId="255C1C67" w:rsidR="00FC6639" w:rsidRPr="00A5528C" w:rsidRDefault="00FC6639" w:rsidP="000D2B6C">
      <w:pPr>
        <w:pStyle w:val="FootnoteText"/>
        <w:spacing w:after="0"/>
        <w:ind w:firstLine="0"/>
        <w:rPr>
          <w:rFonts w:ascii="Garamond" w:hAnsi="Garamond"/>
        </w:rPr>
      </w:pPr>
      <w:r w:rsidRPr="00A5528C">
        <w:rPr>
          <w:rStyle w:val="FootnoteReference"/>
          <w:rFonts w:ascii="Garamond" w:hAnsi="Garamond"/>
        </w:rPr>
        <w:footnoteRef/>
      </w:r>
      <w:r>
        <w:rPr>
          <w:rFonts w:ascii="Garamond" w:hAnsi="Garamond"/>
        </w:rPr>
        <w:t xml:space="preserve"> </w:t>
      </w:r>
      <w:r w:rsidRPr="00A5528C">
        <w:rPr>
          <w:rFonts w:ascii="Garamond" w:hAnsi="Garamond"/>
        </w:rPr>
        <w:t xml:space="preserve">Rahul Kumar, </w:t>
      </w:r>
      <w:r w:rsidRPr="00A07EC1">
        <w:rPr>
          <w:rFonts w:ascii="Garamond" w:hAnsi="Garamond"/>
          <w:iCs/>
        </w:rPr>
        <w:t>Contractualism on the Shoal of Aggregation,</w:t>
      </w:r>
      <w:r>
        <w:rPr>
          <w:rFonts w:ascii="Garamond" w:hAnsi="Garamond"/>
        </w:rPr>
        <w:t xml:space="preserve"> </w:t>
      </w:r>
      <w:r w:rsidRPr="00392CF7">
        <w:rPr>
          <w:rFonts w:ascii="Garamond" w:hAnsi="Garamond"/>
        </w:rPr>
        <w:t>in</w:t>
      </w:r>
      <w:r>
        <w:rPr>
          <w:rFonts w:ascii="Garamond" w:hAnsi="Garamond"/>
        </w:rPr>
        <w:t xml:space="preserve"> Reasons and Recognition: Essays on the Philosophy of T.M. Scanlon</w:t>
      </w:r>
      <w:r w:rsidRPr="00372238">
        <w:rPr>
          <w:rFonts w:ascii="Garamond" w:hAnsi="Garamond"/>
        </w:rPr>
        <w:t xml:space="preserve"> 129, </w:t>
      </w:r>
      <w:r w:rsidRPr="00A5528C">
        <w:rPr>
          <w:rFonts w:ascii="Garamond" w:hAnsi="Garamond"/>
        </w:rPr>
        <w:t>150</w:t>
      </w:r>
      <w:r>
        <w:rPr>
          <w:rFonts w:ascii="Garamond" w:hAnsi="Garamond"/>
        </w:rPr>
        <w:t xml:space="preserve"> (</w:t>
      </w:r>
      <w:r w:rsidRPr="00372238">
        <w:rPr>
          <w:rFonts w:ascii="Garamond" w:hAnsi="Garamond"/>
          <w:bCs/>
        </w:rPr>
        <w:t>R. Jay Wallace, Rahul Kumar, and Samuel Freeman</w:t>
      </w:r>
      <w:r w:rsidRPr="00372238">
        <w:rPr>
          <w:rFonts w:ascii="Garamond" w:hAnsi="Garamond"/>
          <w:b/>
          <w:bCs/>
        </w:rPr>
        <w:t xml:space="preserve"> </w:t>
      </w:r>
      <w:r w:rsidRPr="00372238">
        <w:rPr>
          <w:rFonts w:ascii="Garamond" w:hAnsi="Garamond"/>
          <w:bCs/>
        </w:rPr>
        <w:t>eds.</w:t>
      </w:r>
      <w:r>
        <w:rPr>
          <w:rFonts w:ascii="Garamond" w:hAnsi="Garamond"/>
          <w:bCs/>
        </w:rPr>
        <w:t xml:space="preserve">, Oxford, 2011) </w:t>
      </w:r>
      <w:r w:rsidRPr="00A5528C">
        <w:rPr>
          <w:rFonts w:ascii="Garamond" w:hAnsi="Garamond"/>
        </w:rPr>
        <w:t xml:space="preserve">(quoting Christine Korsgaard, </w:t>
      </w:r>
      <w:r w:rsidRPr="00A07EC1">
        <w:rPr>
          <w:rFonts w:ascii="Garamond" w:hAnsi="Garamond"/>
          <w:iCs/>
        </w:rPr>
        <w:t xml:space="preserve">The Reasons We Can Share: An Attack on the Distinction Between Agent-Relative and Agent-Neutral Values, </w:t>
      </w:r>
      <w:r w:rsidRPr="00A5528C">
        <w:rPr>
          <w:rFonts w:ascii="Garamond" w:hAnsi="Garamond"/>
        </w:rPr>
        <w:t>10 Social Philosophy and Policy 24 (1993)</w:t>
      </w:r>
      <w:r>
        <w:rPr>
          <w:rFonts w:ascii="Garamond" w:hAnsi="Garamond"/>
        </w:rPr>
        <w:t>)</w:t>
      </w:r>
      <w:r w:rsidRPr="00A5528C">
        <w:rPr>
          <w:rFonts w:ascii="Garamond" w:hAnsi="Garamond"/>
        </w:rPr>
        <w:t>.</w:t>
      </w:r>
      <w:r>
        <w:rPr>
          <w:rFonts w:ascii="Garamond" w:hAnsi="Garamond"/>
        </w:rPr>
        <w:t xml:space="preserve"> </w:t>
      </w:r>
    </w:p>
  </w:footnote>
  <w:footnote w:id="48">
    <w:p w14:paraId="4CE69379" w14:textId="294F4151" w:rsidR="00DC73DF" w:rsidRPr="00EB50D1" w:rsidRDefault="00DC73DF" w:rsidP="00BE39F0">
      <w:pPr>
        <w:pStyle w:val="FootnoteText"/>
        <w:spacing w:after="0"/>
        <w:ind w:firstLine="0"/>
        <w:rPr>
          <w:rFonts w:ascii="Garamond" w:hAnsi="Garamond"/>
        </w:rPr>
      </w:pPr>
      <w:r w:rsidRPr="00272085">
        <w:rPr>
          <w:rStyle w:val="FootnoteReference"/>
          <w:rFonts w:ascii="Garamond" w:hAnsi="Garamond"/>
        </w:rPr>
        <w:footnoteRef/>
      </w:r>
      <w:r w:rsidRPr="00272085">
        <w:rPr>
          <w:rFonts w:ascii="Garamond" w:hAnsi="Garamond"/>
        </w:rPr>
        <w:t xml:space="preserve"> </w:t>
      </w:r>
      <w:r w:rsidRPr="00EB50D1">
        <w:rPr>
          <w:rFonts w:ascii="Garamond" w:hAnsi="Garamond"/>
        </w:rPr>
        <w:t xml:space="preserve">Michael A Livermore &amp; Richard L. Revesz, </w:t>
      </w:r>
      <w:r w:rsidRPr="00B4755D">
        <w:rPr>
          <w:rFonts w:ascii="Garamond" w:hAnsi="Garamond"/>
          <w:i/>
        </w:rPr>
        <w:t>Rethinking Health-Based Environmental Standards and Cost-Benefit Analysis</w:t>
      </w:r>
      <w:r w:rsidRPr="00B4755D">
        <w:rPr>
          <w:rFonts w:ascii="Garamond" w:hAnsi="Garamond"/>
          <w:iCs/>
        </w:rPr>
        <w:t>,</w:t>
      </w:r>
      <w:r w:rsidRPr="00EB50D1">
        <w:rPr>
          <w:rFonts w:ascii="Garamond" w:hAnsi="Garamond"/>
        </w:rPr>
        <w:t xml:space="preserve"> 89 </w:t>
      </w:r>
      <w:r w:rsidRPr="00B4755D">
        <w:rPr>
          <w:rFonts w:ascii="Garamond" w:hAnsi="Garamond"/>
          <w:smallCaps/>
        </w:rPr>
        <w:t>N.Y.U. L. Rev.</w:t>
      </w:r>
      <w:r w:rsidRPr="00EB50D1">
        <w:rPr>
          <w:rFonts w:ascii="Garamond" w:hAnsi="Garamond"/>
          <w:smallCaps/>
        </w:rPr>
        <w:t xml:space="preserve"> 1184</w:t>
      </w:r>
      <w:r w:rsidRPr="00EB50D1">
        <w:rPr>
          <w:rFonts w:ascii="Garamond" w:hAnsi="Garamond"/>
        </w:rPr>
        <w:t xml:space="preserve"> </w:t>
      </w:r>
      <w:r w:rsidRPr="00EB50D1">
        <w:rPr>
          <w:rFonts w:ascii="Garamond" w:hAnsi="Garamond"/>
          <w:smallCaps/>
        </w:rPr>
        <w:t>(2014)</w:t>
      </w:r>
      <w:r w:rsidRPr="00EB50D1">
        <w:rPr>
          <w:rFonts w:ascii="Garamond" w:hAnsi="Garamond"/>
        </w:rPr>
        <w:t xml:space="preserve"> refers to what I call “safe level” analysis as “health-based analysis.” I shall sometimes refer to the “safe-level” standard as the “safety” standard. </w:t>
      </w:r>
    </w:p>
  </w:footnote>
  <w:footnote w:id="49">
    <w:p w14:paraId="44B47813" w14:textId="77777777" w:rsidR="00DC73DF" w:rsidRPr="00EB50D1" w:rsidRDefault="00DC73DF" w:rsidP="00BE39F0">
      <w:pPr>
        <w:pStyle w:val="FootnoteText"/>
        <w:spacing w:after="0"/>
        <w:ind w:firstLine="0"/>
        <w:rPr>
          <w:rFonts w:ascii="Garamond" w:hAnsi="Garamond"/>
          <w:i/>
        </w:rPr>
      </w:pPr>
      <w:r w:rsidRPr="00EB50D1">
        <w:rPr>
          <w:rStyle w:val="FootnoteReference"/>
          <w:rFonts w:ascii="Garamond" w:hAnsi="Garamond"/>
        </w:rPr>
        <w:footnoteRef/>
      </w:r>
      <w:r w:rsidRPr="00EB50D1">
        <w:rPr>
          <w:rFonts w:ascii="Garamond" w:hAnsi="Garamond"/>
        </w:rPr>
        <w:t xml:space="preserve"> It is debatable whether this relation is necessary. Arguably, there are circumstances where it is </w:t>
      </w:r>
      <w:r w:rsidRPr="00EB50D1">
        <w:rPr>
          <w:rFonts w:ascii="Garamond" w:hAnsi="Garamond"/>
          <w:iCs/>
        </w:rPr>
        <w:t xml:space="preserve">not cost-justified to engage in an activity in the first place and where the activity is also governed by feasibility analysis. In this circumstance, feasible precaution will be less protective of safety than cost-justified precaution. None of the circumstances discussed in this paper fit this template. Examples that might fit the template involve freely chosen, but very risky activities. Some people might argue that it is foolish to engage in some such activity (e.g., in “free solo” rock climbing). At the same time, it will be true that the risks of such activities cannot be reduced to insignificance because that would destroy the value of the activity. </w:t>
      </w:r>
    </w:p>
  </w:footnote>
  <w:footnote w:id="50">
    <w:p w14:paraId="5A6F590D" w14:textId="77777777" w:rsidR="00DC73DF" w:rsidRPr="00EB50D1" w:rsidRDefault="00DC73DF" w:rsidP="00BE39F0">
      <w:pPr>
        <w:pStyle w:val="FootnoteText"/>
        <w:spacing w:after="0"/>
        <w:ind w:firstLine="0"/>
        <w:rPr>
          <w:rFonts w:ascii="Garamond" w:hAnsi="Garamond"/>
        </w:rPr>
      </w:pPr>
      <w:r w:rsidRPr="00EB50D1">
        <w:rPr>
          <w:rStyle w:val="FootnoteReference"/>
          <w:rFonts w:ascii="Garamond" w:hAnsi="Garamond"/>
        </w:rPr>
        <w:footnoteRef/>
      </w:r>
      <w:r w:rsidRPr="00EB50D1">
        <w:rPr>
          <w:rFonts w:ascii="Garamond" w:hAnsi="Garamond"/>
        </w:rPr>
        <w:t xml:space="preserve"> The Food Quality Protection Act of 1996, Pub. L. No. 104–170, 110 Stat. 1489 (codified as amended at 7 U.S.C. § 136, and in scattered sections of 21 U.S.C. (2000)). Clean air statutes also incorporate safety-based regulation. The Clean Air Act, Pub. L. No. 101-549, 104 Stat. 2399 (codified as amended at 42 U.SC. §§ 7401–7671 (2000)).</w:t>
      </w:r>
    </w:p>
  </w:footnote>
  <w:footnote w:id="51">
    <w:p w14:paraId="7CB833FE" w14:textId="77777777" w:rsidR="00DC73DF" w:rsidRPr="00EB50D1" w:rsidRDefault="00DC73DF" w:rsidP="00BE39F0">
      <w:pPr>
        <w:pStyle w:val="FootnoteText"/>
        <w:spacing w:after="0"/>
        <w:ind w:firstLine="0"/>
        <w:rPr>
          <w:rFonts w:ascii="Garamond" w:hAnsi="Garamond"/>
        </w:rPr>
      </w:pPr>
      <w:r w:rsidRPr="00EB50D1">
        <w:rPr>
          <w:rStyle w:val="FootnoteReference"/>
          <w:rFonts w:ascii="Garamond" w:hAnsi="Garamond"/>
        </w:rPr>
        <w:footnoteRef/>
      </w:r>
      <w:r w:rsidRPr="00EB50D1">
        <w:rPr>
          <w:rFonts w:ascii="Garamond" w:hAnsi="Garamond"/>
        </w:rPr>
        <w:t xml:space="preserve"> 21 U.S.C. § 346a(b)(2)(A)(ii).</w:t>
      </w:r>
    </w:p>
  </w:footnote>
  <w:footnote w:id="52">
    <w:p w14:paraId="41AF832C" w14:textId="77777777" w:rsidR="00DC73DF" w:rsidRPr="00EB50D1" w:rsidRDefault="00DC73DF" w:rsidP="00BE39F0">
      <w:pPr>
        <w:pStyle w:val="FootnoteText"/>
        <w:spacing w:after="0"/>
        <w:ind w:firstLine="0"/>
        <w:rPr>
          <w:rFonts w:ascii="Garamond" w:hAnsi="Garamond"/>
        </w:rPr>
      </w:pPr>
      <w:r w:rsidRPr="00EB50D1">
        <w:rPr>
          <w:rStyle w:val="FootnoteReference"/>
          <w:rFonts w:ascii="Garamond" w:hAnsi="Garamond"/>
        </w:rPr>
        <w:footnoteRef/>
      </w:r>
      <w:r w:rsidRPr="00EB50D1">
        <w:rPr>
          <w:rFonts w:ascii="Garamond" w:hAnsi="Garamond"/>
        </w:rPr>
        <w:t xml:space="preserve"> </w:t>
      </w:r>
      <w:r w:rsidRPr="00B4755D">
        <w:rPr>
          <w:rFonts w:ascii="Garamond" w:hAnsi="Garamond"/>
          <w:i/>
        </w:rPr>
        <w:t>Id</w:t>
      </w:r>
      <w:r w:rsidRPr="00B4755D">
        <w:rPr>
          <w:rFonts w:ascii="Garamond" w:hAnsi="Garamond"/>
          <w:iCs/>
        </w:rPr>
        <w:t xml:space="preserve">. </w:t>
      </w:r>
    </w:p>
  </w:footnote>
  <w:footnote w:id="53">
    <w:p w14:paraId="0547F80B" w14:textId="77777777" w:rsidR="00DC73DF" w:rsidRPr="00EB50D1" w:rsidRDefault="00DC73DF" w:rsidP="00BE39F0">
      <w:pPr>
        <w:pStyle w:val="FootnoteText"/>
        <w:spacing w:after="0"/>
        <w:ind w:firstLine="0"/>
        <w:rPr>
          <w:rFonts w:ascii="Garamond" w:hAnsi="Garamond"/>
        </w:rPr>
      </w:pPr>
      <w:r w:rsidRPr="00EB50D1">
        <w:rPr>
          <w:rStyle w:val="FootnoteReference"/>
          <w:rFonts w:ascii="Garamond" w:hAnsi="Garamond"/>
        </w:rPr>
        <w:footnoteRef/>
      </w:r>
      <w:r w:rsidRPr="00EB50D1">
        <w:rPr>
          <w:rFonts w:ascii="Garamond" w:hAnsi="Garamond"/>
        </w:rPr>
        <w:t xml:space="preserve"> § 346a(b)(2)(C)(ii)(II).</w:t>
      </w:r>
    </w:p>
  </w:footnote>
  <w:footnote w:id="54">
    <w:p w14:paraId="3503754B" w14:textId="77777777" w:rsidR="00DC73DF" w:rsidRPr="00272085" w:rsidRDefault="00DC73DF" w:rsidP="002D5108">
      <w:pPr>
        <w:pStyle w:val="FootnoteText"/>
        <w:spacing w:after="0"/>
        <w:ind w:firstLine="0"/>
        <w:rPr>
          <w:rFonts w:ascii="Garamond" w:hAnsi="Garamond"/>
        </w:rPr>
      </w:pPr>
      <w:r w:rsidRPr="00272085">
        <w:rPr>
          <w:rStyle w:val="FootnoteReference"/>
          <w:rFonts w:ascii="Garamond" w:hAnsi="Garamond"/>
        </w:rPr>
        <w:footnoteRef/>
      </w:r>
      <w:r w:rsidRPr="00272085">
        <w:rPr>
          <w:rFonts w:ascii="Garamond" w:hAnsi="Garamond"/>
        </w:rPr>
        <w:t xml:space="preserve"> Efficient precaution is taken when the marginal cost of the next increment of precaution would exceed its marginal benefit (i.e., when a dollar more in precaution would yield less than a dollar’s worth of harm avoided).</w:t>
      </w:r>
    </w:p>
  </w:footnote>
  <w:footnote w:id="55">
    <w:p w14:paraId="60B79A08" w14:textId="77777777" w:rsidR="00DC73DF" w:rsidRPr="00EB50D1" w:rsidRDefault="00DC73DF" w:rsidP="005E2BD3">
      <w:pPr>
        <w:pStyle w:val="FootnoteText"/>
        <w:spacing w:after="0"/>
        <w:ind w:firstLine="0"/>
        <w:rPr>
          <w:rFonts w:ascii="Garamond" w:hAnsi="Garamond"/>
        </w:rPr>
      </w:pPr>
      <w:r w:rsidRPr="00EB50D1">
        <w:rPr>
          <w:rStyle w:val="FootnoteReference"/>
          <w:rFonts w:ascii="Garamond" w:hAnsi="Garamond"/>
        </w:rPr>
        <w:footnoteRef/>
      </w:r>
      <w:r w:rsidRPr="00EB50D1">
        <w:rPr>
          <w:rFonts w:ascii="Garamond" w:hAnsi="Garamond"/>
        </w:rPr>
        <w:t xml:space="preserve"> 42 U.S.C. § 7412(d)(2). This requirement is part of the 1990 Amendments to the Clean Air Act. Feasible risk reduction is a statutory standard in the Occupational Health and Safety Act of 1970, and it is in this context that it has received its most extensive application and articulation</w:t>
      </w:r>
      <w:r w:rsidRPr="00EB50D1">
        <w:rPr>
          <w:rFonts w:ascii="Garamond" w:hAnsi="Garamond"/>
          <w:i/>
        </w:rPr>
        <w:t>.</w:t>
      </w:r>
      <w:r w:rsidRPr="00EB50D1">
        <w:rPr>
          <w:rFonts w:ascii="Garamond" w:hAnsi="Garamond"/>
        </w:rPr>
        <w:t xml:space="preserve">  </w:t>
      </w:r>
    </w:p>
  </w:footnote>
  <w:footnote w:id="56">
    <w:p w14:paraId="7E9D124C" w14:textId="77777777" w:rsidR="00DC73DF" w:rsidRPr="00EB50D1" w:rsidRDefault="00DC73DF" w:rsidP="00BE39F0">
      <w:pPr>
        <w:pStyle w:val="FootnoteText"/>
        <w:spacing w:after="0"/>
        <w:ind w:firstLine="0"/>
        <w:rPr>
          <w:rFonts w:ascii="Garamond" w:hAnsi="Garamond"/>
        </w:rPr>
      </w:pPr>
      <w:r w:rsidRPr="00EB50D1">
        <w:rPr>
          <w:rStyle w:val="FootnoteReference"/>
          <w:rFonts w:ascii="Garamond" w:hAnsi="Garamond"/>
        </w:rPr>
        <w:footnoteRef/>
      </w:r>
      <w:r w:rsidRPr="00EB50D1">
        <w:rPr>
          <w:rFonts w:ascii="Garamond" w:hAnsi="Garamond"/>
        </w:rPr>
        <w:t xml:space="preserve"> Robert Solow, </w:t>
      </w:r>
      <w:r w:rsidRPr="00B4755D">
        <w:rPr>
          <w:rFonts w:ascii="Garamond" w:hAnsi="Garamond"/>
          <w:i/>
        </w:rPr>
        <w:t>Defending Cost-Benefit Analysis</w:t>
      </w:r>
      <w:r w:rsidRPr="00B4755D">
        <w:rPr>
          <w:rFonts w:ascii="Garamond" w:hAnsi="Garamond"/>
          <w:iCs/>
        </w:rPr>
        <w:t>,</w:t>
      </w:r>
      <w:r w:rsidRPr="00EB50D1">
        <w:rPr>
          <w:rFonts w:ascii="Garamond" w:hAnsi="Garamond"/>
        </w:rPr>
        <w:t xml:space="preserve"> 5 </w:t>
      </w:r>
      <w:r w:rsidRPr="00B4755D">
        <w:rPr>
          <w:rFonts w:ascii="Garamond" w:hAnsi="Garamond"/>
          <w:smallCaps/>
        </w:rPr>
        <w:t>Regulation</w:t>
      </w:r>
      <w:r w:rsidRPr="00EB50D1">
        <w:rPr>
          <w:rFonts w:ascii="Garamond" w:hAnsi="Garamond"/>
        </w:rPr>
        <w:t xml:space="preserve"> 40, 40 (1981). </w:t>
      </w:r>
      <w:r>
        <w:rPr>
          <w:rFonts w:ascii="Garamond" w:hAnsi="Garamond"/>
        </w:rPr>
        <w:t xml:space="preserve">This is basic idea of cost is often called “opportunity cost.” </w:t>
      </w:r>
      <w:r w:rsidRPr="00EB50D1">
        <w:rPr>
          <w:rFonts w:ascii="Garamond" w:hAnsi="Garamond"/>
        </w:rPr>
        <w:t xml:space="preserve"> </w:t>
      </w:r>
    </w:p>
  </w:footnote>
  <w:footnote w:id="57">
    <w:p w14:paraId="6AD3F54D" w14:textId="77777777" w:rsidR="00DC73DF" w:rsidRPr="00EB50D1" w:rsidRDefault="00DC73DF" w:rsidP="00BE39F0">
      <w:pPr>
        <w:pStyle w:val="FootnoteText"/>
        <w:spacing w:after="0"/>
        <w:ind w:firstLine="0"/>
        <w:rPr>
          <w:rFonts w:ascii="Garamond" w:hAnsi="Garamond"/>
        </w:rPr>
      </w:pPr>
      <w:r w:rsidRPr="00EB50D1">
        <w:rPr>
          <w:rStyle w:val="FootnoteReference"/>
          <w:rFonts w:ascii="Garamond" w:hAnsi="Garamond"/>
        </w:rPr>
        <w:footnoteRef/>
      </w:r>
      <w:r w:rsidRPr="00EB50D1">
        <w:rPr>
          <w:rFonts w:ascii="Garamond" w:hAnsi="Garamond"/>
        </w:rPr>
        <w:t xml:space="preserve"> </w:t>
      </w:r>
      <w:r w:rsidRPr="00B4755D">
        <w:rPr>
          <w:rFonts w:ascii="Garamond" w:hAnsi="Garamond"/>
          <w:smallCaps/>
        </w:rPr>
        <w:t>Robert Cooter &amp; Thomas Ulen, Law and Economics</w:t>
      </w:r>
      <w:r>
        <w:rPr>
          <w:rFonts w:ascii="Garamond" w:hAnsi="Garamond"/>
          <w:smallCaps/>
        </w:rPr>
        <w:t xml:space="preserve">, </w:t>
      </w:r>
      <w:r w:rsidRPr="00EB50D1">
        <w:rPr>
          <w:rFonts w:ascii="Garamond" w:hAnsi="Garamond"/>
        </w:rPr>
        <w:t>237 (6th ed. 2016).</w:t>
      </w:r>
    </w:p>
  </w:footnote>
  <w:footnote w:id="58">
    <w:p w14:paraId="60768960" w14:textId="77777777" w:rsidR="00DC73DF" w:rsidRPr="00EB50D1" w:rsidRDefault="00DC73DF" w:rsidP="002D5108">
      <w:pPr>
        <w:pStyle w:val="FootnoteText"/>
        <w:spacing w:after="0"/>
        <w:ind w:firstLine="0"/>
        <w:rPr>
          <w:rFonts w:ascii="Garamond" w:hAnsi="Garamond"/>
        </w:rPr>
      </w:pPr>
      <w:r w:rsidRPr="00272085">
        <w:rPr>
          <w:rStyle w:val="FootnoteReference"/>
          <w:rFonts w:ascii="Garamond" w:hAnsi="Garamond"/>
        </w:rPr>
        <w:footnoteRef/>
      </w:r>
      <w:r w:rsidRPr="00272085">
        <w:rPr>
          <w:rFonts w:ascii="Garamond" w:hAnsi="Garamond"/>
        </w:rPr>
        <w:t xml:space="preserve"> </w:t>
      </w:r>
      <w:r w:rsidRPr="00EB50D1">
        <w:rPr>
          <w:rFonts w:ascii="Garamond" w:hAnsi="Garamond"/>
        </w:rPr>
        <w:t xml:space="preserve">Only two of “ten major regulatory statutes enacted in the 1960’s, 1970’s and 1980’s . . . expressly authorize the balancing of benefits and costs for core agency actions.” Jonathan Cannon, </w:t>
      </w:r>
      <w:r w:rsidRPr="00B4755D">
        <w:rPr>
          <w:rFonts w:ascii="Garamond" w:hAnsi="Garamond"/>
          <w:i/>
        </w:rPr>
        <w:t>The Sounds of Silence: Cost-Benefit Canons in Entergy Corp. v. Riverkeeper, Inc</w:t>
      </w:r>
      <w:r w:rsidRPr="00B4755D">
        <w:rPr>
          <w:rFonts w:ascii="Garamond" w:hAnsi="Garamond"/>
          <w:iCs/>
        </w:rPr>
        <w:t>.,</w:t>
      </w:r>
      <w:r w:rsidRPr="00EB50D1">
        <w:rPr>
          <w:rFonts w:ascii="Garamond" w:hAnsi="Garamond"/>
        </w:rPr>
        <w:t xml:space="preserve"> 34 </w:t>
      </w:r>
      <w:r w:rsidRPr="00B4755D">
        <w:rPr>
          <w:rFonts w:ascii="Garamond" w:hAnsi="Garamond"/>
          <w:smallCaps/>
        </w:rPr>
        <w:t>Harv. Envtl. L. Rev</w:t>
      </w:r>
      <w:r w:rsidRPr="00B4755D">
        <w:rPr>
          <w:rFonts w:ascii="Garamond" w:hAnsi="Garamond"/>
        </w:rPr>
        <w:t>.</w:t>
      </w:r>
      <w:r w:rsidRPr="00EB50D1">
        <w:rPr>
          <w:rFonts w:ascii="Garamond" w:hAnsi="Garamond"/>
        </w:rPr>
        <w:t xml:space="preserve"> 425, 426 (2010). </w:t>
      </w:r>
    </w:p>
  </w:footnote>
  <w:footnote w:id="59">
    <w:p w14:paraId="3E811233" w14:textId="77777777" w:rsidR="00DC73DF" w:rsidRPr="00272085" w:rsidRDefault="00DC73DF" w:rsidP="005E2BD3">
      <w:pPr>
        <w:pStyle w:val="FootnoteText"/>
        <w:spacing w:after="0"/>
        <w:ind w:firstLine="0"/>
        <w:rPr>
          <w:rFonts w:ascii="Garamond" w:hAnsi="Garamond"/>
        </w:rPr>
      </w:pPr>
      <w:r w:rsidRPr="00272085">
        <w:rPr>
          <w:rStyle w:val="FootnoteReference"/>
          <w:rFonts w:ascii="Garamond" w:hAnsi="Garamond"/>
        </w:rPr>
        <w:footnoteRef/>
      </w:r>
      <w:r w:rsidRPr="00272085">
        <w:rPr>
          <w:rFonts w:ascii="Garamond" w:hAnsi="Garamond"/>
        </w:rPr>
        <w:t xml:space="preserve"> Exec. Order No. 12,291, 3 C.F.R. 127 (1982) (repealed 1993). The courts have long held that the major environmental and occupational safety statutes forbid consideration of cost. In 2001, a unanimous Supreme Court held that the EPA “may not consider implementation costs” in setting ambient air quality standards under the Clean Air Act</w:t>
      </w:r>
      <w:r w:rsidRPr="005E2BD3">
        <w:rPr>
          <w:rFonts w:ascii="Garamond" w:hAnsi="Garamond"/>
        </w:rPr>
        <w:t xml:space="preserve">. </w:t>
      </w:r>
      <w:r w:rsidRPr="00B4755D">
        <w:rPr>
          <w:rFonts w:ascii="Garamond" w:hAnsi="Garamond"/>
          <w:i/>
          <w:iCs/>
        </w:rPr>
        <w:t>Whitman v.</w:t>
      </w:r>
      <w:r w:rsidRPr="00B4755D">
        <w:rPr>
          <w:rFonts w:ascii="Garamond" w:hAnsi="Garamond"/>
          <w:i/>
        </w:rPr>
        <w:t xml:space="preserve"> American Trucking Associations</w:t>
      </w:r>
      <w:r w:rsidRPr="00272085">
        <w:rPr>
          <w:rFonts w:ascii="Garamond" w:hAnsi="Garamond"/>
        </w:rPr>
        <w:t xml:space="preserve">, 531 U.S. 457 (2001). Writing for the court, Justice Scalia observed: “Were it not for the hundreds of pages of briefing respondents have submitted on the issue, one would have thought it fairly clear that this text does not permit EPA to consider costs in setting standards. . . . The EPA . . . is to identify the maximum airborne concentration of a pollutant that the public health can tolerate, decrease the concentration to provide an ‘adequate’ margin of safety, and set the standard at that level.” </w:t>
      </w:r>
      <w:r w:rsidRPr="00272085">
        <w:rPr>
          <w:rFonts w:ascii="Garamond" w:hAnsi="Garamond"/>
          <w:i/>
        </w:rPr>
        <w:t>Id.</w:t>
      </w:r>
      <w:r w:rsidRPr="00272085">
        <w:rPr>
          <w:rFonts w:ascii="Garamond" w:hAnsi="Garamond"/>
        </w:rPr>
        <w:t xml:space="preserve"> at 465. </w:t>
      </w:r>
      <w:r w:rsidRPr="00B4755D">
        <w:rPr>
          <w:rFonts w:ascii="Garamond" w:hAnsi="Garamond"/>
          <w:i/>
        </w:rPr>
        <w:t>Entergy Corp v. Riverkeeper, Inc.</w:t>
      </w:r>
      <w:r w:rsidRPr="00C7386C">
        <w:rPr>
          <w:rFonts w:ascii="Garamond" w:hAnsi="Garamond"/>
          <w:iCs/>
        </w:rPr>
        <w:t>,</w:t>
      </w:r>
      <w:r w:rsidRPr="00272085">
        <w:rPr>
          <w:rFonts w:ascii="Garamond" w:hAnsi="Garamond"/>
        </w:rPr>
        <w:t xml:space="preserve"> 556 U.S. 208 (2009) may represent a slight retreat from this position. </w:t>
      </w:r>
      <w:r w:rsidRPr="00B4755D">
        <w:rPr>
          <w:rFonts w:ascii="Garamond" w:hAnsi="Garamond"/>
          <w:i/>
        </w:rPr>
        <w:t>See</w:t>
      </w:r>
      <w:r w:rsidRPr="00C7386C">
        <w:rPr>
          <w:rFonts w:ascii="Garamond" w:hAnsi="Garamond"/>
          <w:iCs/>
        </w:rPr>
        <w:t xml:space="preserve"> </w:t>
      </w:r>
      <w:r w:rsidRPr="00272085">
        <w:rPr>
          <w:rFonts w:ascii="Garamond" w:hAnsi="Garamond"/>
        </w:rPr>
        <w:t xml:space="preserve">Cannon, </w:t>
      </w:r>
      <w:r w:rsidRPr="00B4755D">
        <w:rPr>
          <w:rFonts w:ascii="Garamond" w:hAnsi="Garamond"/>
          <w:i/>
        </w:rPr>
        <w:t>Sounds of Silence</w:t>
      </w:r>
      <w:r w:rsidRPr="00B4755D">
        <w:rPr>
          <w:rFonts w:ascii="Garamond" w:hAnsi="Garamond"/>
          <w:iCs/>
        </w:rPr>
        <w:t>,</w:t>
      </w:r>
      <w:r w:rsidRPr="00272085">
        <w:rPr>
          <w:rFonts w:ascii="Garamond" w:hAnsi="Garamond"/>
        </w:rPr>
        <w:t xml:space="preserve"> </w:t>
      </w:r>
      <w:r w:rsidRPr="00B4755D">
        <w:rPr>
          <w:rFonts w:ascii="Garamond" w:hAnsi="Garamond"/>
          <w:i/>
        </w:rPr>
        <w:t>supra</w:t>
      </w:r>
      <w:r w:rsidRPr="00C7386C">
        <w:rPr>
          <w:rFonts w:ascii="Garamond" w:hAnsi="Garamond"/>
          <w:iCs/>
        </w:rPr>
        <w:t xml:space="preserve"> </w:t>
      </w:r>
      <w:r w:rsidRPr="00272085">
        <w:rPr>
          <w:rFonts w:ascii="Garamond" w:hAnsi="Garamond"/>
        </w:rPr>
        <w:t>note</w:t>
      </w:r>
      <w:r>
        <w:rPr>
          <w:rFonts w:ascii="Garamond" w:hAnsi="Garamond"/>
        </w:rPr>
        <w:t xml:space="preserve"> </w:t>
      </w:r>
      <w:r>
        <w:rPr>
          <w:rFonts w:ascii="Garamond" w:hAnsi="Garamond"/>
        </w:rPr>
        <w:fldChar w:fldCharType="begin"/>
      </w:r>
      <w:r>
        <w:rPr>
          <w:rFonts w:ascii="Garamond" w:hAnsi="Garamond"/>
        </w:rPr>
        <w:instrText xml:space="preserve"> NOTEREF _Ref339124036 \h </w:instrText>
      </w:r>
      <w:r>
        <w:rPr>
          <w:rFonts w:ascii="Garamond" w:hAnsi="Garamond"/>
        </w:rPr>
      </w:r>
      <w:r>
        <w:rPr>
          <w:rFonts w:ascii="Garamond" w:hAnsi="Garamond"/>
        </w:rPr>
        <w:fldChar w:fldCharType="separate"/>
      </w:r>
      <w:r>
        <w:rPr>
          <w:rFonts w:ascii="Garamond" w:hAnsi="Garamond"/>
        </w:rPr>
        <w:t>29</w:t>
      </w:r>
      <w:r>
        <w:rPr>
          <w:rFonts w:ascii="Garamond" w:hAnsi="Garamond"/>
        </w:rPr>
        <w:fldChar w:fldCharType="end"/>
      </w:r>
      <w:r w:rsidRPr="00272085">
        <w:rPr>
          <w:rFonts w:ascii="Garamond" w:hAnsi="Garamond"/>
        </w:rPr>
        <w:t xml:space="preserve">. </w:t>
      </w:r>
    </w:p>
  </w:footnote>
  <w:footnote w:id="60">
    <w:p w14:paraId="78A3FEB3" w14:textId="77777777" w:rsidR="00DC73DF" w:rsidRPr="00272085" w:rsidRDefault="00DC73DF" w:rsidP="00BE39F0">
      <w:pPr>
        <w:pStyle w:val="FootnoteText"/>
        <w:spacing w:after="0"/>
        <w:ind w:firstLine="0"/>
        <w:rPr>
          <w:rFonts w:ascii="Garamond" w:hAnsi="Garamond"/>
        </w:rPr>
      </w:pPr>
      <w:r w:rsidRPr="00EB50D1">
        <w:rPr>
          <w:rStyle w:val="FootnoteReference"/>
          <w:rFonts w:ascii="Garamond" w:hAnsi="Garamond"/>
        </w:rPr>
        <w:footnoteRef/>
      </w:r>
      <w:r w:rsidRPr="00EB50D1">
        <w:rPr>
          <w:rFonts w:ascii="Garamond" w:hAnsi="Garamond"/>
        </w:rPr>
        <w:t xml:space="preserve"> </w:t>
      </w:r>
      <w:r w:rsidRPr="002D5108">
        <w:rPr>
          <w:rFonts w:ascii="Garamond" w:hAnsi="Garamond"/>
          <w:iCs/>
        </w:rPr>
        <w:t>See</w:t>
      </w:r>
      <w:r w:rsidRPr="00EB50D1">
        <w:rPr>
          <w:rFonts w:ascii="Garamond" w:hAnsi="Garamond"/>
          <w:i/>
        </w:rPr>
        <w:t xml:space="preserve"> e.g., </w:t>
      </w:r>
      <w:r w:rsidRPr="00EB50D1">
        <w:rPr>
          <w:rFonts w:ascii="Garamond" w:hAnsi="Garamond"/>
        </w:rPr>
        <w:t xml:space="preserve">Alan Schwartz, </w:t>
      </w:r>
      <w:r w:rsidRPr="00B4755D">
        <w:rPr>
          <w:rFonts w:ascii="Garamond" w:hAnsi="Garamond"/>
          <w:i/>
        </w:rPr>
        <w:t>Products Liability Reform: A Theoretical Synthesis</w:t>
      </w:r>
      <w:r w:rsidRPr="00B4755D">
        <w:rPr>
          <w:rFonts w:ascii="Garamond" w:hAnsi="Garamond"/>
          <w:iCs/>
        </w:rPr>
        <w:t>,</w:t>
      </w:r>
      <w:r w:rsidRPr="00EB50D1">
        <w:rPr>
          <w:rFonts w:ascii="Garamond" w:hAnsi="Garamond"/>
        </w:rPr>
        <w:t xml:space="preserve"> 97 </w:t>
      </w:r>
      <w:r w:rsidRPr="00B4755D">
        <w:rPr>
          <w:rFonts w:ascii="Garamond" w:hAnsi="Garamond"/>
          <w:smallCaps/>
        </w:rPr>
        <w:t>Yale L.J.</w:t>
      </w:r>
      <w:r w:rsidRPr="00EB50D1">
        <w:rPr>
          <w:rFonts w:ascii="Garamond" w:hAnsi="Garamond"/>
          <w:smallCaps/>
        </w:rPr>
        <w:t xml:space="preserve"> 353 (1988); </w:t>
      </w:r>
      <w:r w:rsidRPr="002D5108">
        <w:rPr>
          <w:rFonts w:ascii="Garamond" w:hAnsi="Garamond"/>
          <w:iCs/>
        </w:rPr>
        <w:t>see also</w:t>
      </w:r>
      <w:r w:rsidRPr="00C7386C">
        <w:rPr>
          <w:rFonts w:ascii="Garamond" w:hAnsi="Garamond"/>
          <w:iCs/>
        </w:rPr>
        <w:t>,</w:t>
      </w:r>
      <w:r w:rsidRPr="00EB50D1">
        <w:rPr>
          <w:rFonts w:ascii="Garamond" w:hAnsi="Garamond"/>
        </w:rPr>
        <w:t xml:space="preserve"> Alan Schwartz, </w:t>
      </w:r>
      <w:r w:rsidRPr="00EB50D1">
        <w:rPr>
          <w:rFonts w:ascii="Garamond" w:hAnsi="Garamond"/>
          <w:i/>
        </w:rPr>
        <w:t>The Case Against Strict Liability</w:t>
      </w:r>
      <w:r w:rsidRPr="00EB50D1">
        <w:rPr>
          <w:rFonts w:ascii="Garamond" w:hAnsi="Garamond"/>
        </w:rPr>
        <w:t xml:space="preserve">, 55 </w:t>
      </w:r>
      <w:r w:rsidRPr="00EB50D1">
        <w:rPr>
          <w:rFonts w:ascii="Garamond" w:hAnsi="Garamond"/>
          <w:smallCaps/>
        </w:rPr>
        <w:t>Fordham L. Rev. 819 (1992).</w:t>
      </w:r>
    </w:p>
  </w:footnote>
  <w:footnote w:id="61">
    <w:p w14:paraId="466F0081" w14:textId="77777777" w:rsidR="00DC73DF" w:rsidRPr="00272085" w:rsidRDefault="00DC73DF" w:rsidP="00BE39F0">
      <w:pPr>
        <w:pStyle w:val="FootnoteText"/>
        <w:spacing w:after="0"/>
        <w:ind w:firstLine="0"/>
        <w:rPr>
          <w:rFonts w:ascii="Garamond" w:hAnsi="Garamond"/>
        </w:rPr>
      </w:pPr>
      <w:r w:rsidRPr="00272085">
        <w:rPr>
          <w:rStyle w:val="FootnoteReference"/>
          <w:rFonts w:ascii="Garamond" w:hAnsi="Garamond"/>
        </w:rPr>
        <w:footnoteRef/>
      </w:r>
      <w:r w:rsidRPr="00272085">
        <w:rPr>
          <w:rFonts w:ascii="Garamond" w:hAnsi="Garamond"/>
        </w:rPr>
        <w:t xml:space="preserve"> </w:t>
      </w:r>
      <w:r w:rsidRPr="00B4755D">
        <w:rPr>
          <w:rFonts w:ascii="Garamond" w:hAnsi="Garamond"/>
          <w:i/>
        </w:rPr>
        <w:t>Green v. Smith &amp; Nephew AHP, Inc.</w:t>
      </w:r>
      <w:r w:rsidRPr="00B4755D">
        <w:rPr>
          <w:rFonts w:ascii="Garamond" w:hAnsi="Garamond"/>
          <w:iCs/>
        </w:rPr>
        <w:t xml:space="preserve">, </w:t>
      </w:r>
      <w:r w:rsidRPr="00272085">
        <w:rPr>
          <w:rFonts w:ascii="Garamond" w:hAnsi="Garamond"/>
        </w:rPr>
        <w:t>629 N.W.2d 727 (Wis. 2001).</w:t>
      </w:r>
    </w:p>
  </w:footnote>
  <w:footnote w:id="62">
    <w:p w14:paraId="2B7328DC" w14:textId="77777777" w:rsidR="00DC73DF" w:rsidRPr="00201B50" w:rsidRDefault="00DC73DF" w:rsidP="00C7386C">
      <w:pPr>
        <w:pStyle w:val="FootnoteText"/>
        <w:spacing w:after="0"/>
        <w:ind w:firstLine="0"/>
        <w:rPr>
          <w:rFonts w:ascii="Garamond" w:hAnsi="Garamond"/>
        </w:rPr>
      </w:pPr>
      <w:r w:rsidRPr="00272085">
        <w:rPr>
          <w:rStyle w:val="FootnoteReference"/>
          <w:rFonts w:ascii="Garamond" w:hAnsi="Garamond"/>
        </w:rPr>
        <w:footnoteRef/>
      </w:r>
      <w:r w:rsidRPr="00272085">
        <w:rPr>
          <w:rFonts w:ascii="Garamond" w:hAnsi="Garamond"/>
        </w:rPr>
        <w:t xml:space="preserve"> </w:t>
      </w:r>
      <w:r w:rsidRPr="00B4755D">
        <w:rPr>
          <w:rFonts w:ascii="Garamond" w:hAnsi="Garamond"/>
          <w:smallCaps/>
        </w:rPr>
        <w:t>Keeton, Sargentich &amp; Keating, Tort and Accident Law</w:t>
      </w:r>
      <w:r w:rsidRPr="00272085">
        <w:rPr>
          <w:rFonts w:ascii="Garamond" w:hAnsi="Garamond"/>
        </w:rPr>
        <w:t xml:space="preserve"> 975–76 (4th ed. 2004).</w:t>
      </w:r>
      <w:r>
        <w:rPr>
          <w:rFonts w:ascii="Garamond" w:hAnsi="Garamond"/>
        </w:rPr>
        <w:t xml:space="preserve"> </w:t>
      </w:r>
      <w:r w:rsidRPr="002D5108">
        <w:rPr>
          <w:rFonts w:ascii="Garamond" w:hAnsi="Garamond"/>
          <w:iCs/>
        </w:rPr>
        <w:t>See also</w:t>
      </w:r>
      <w:r w:rsidRPr="00C7386C">
        <w:rPr>
          <w:rFonts w:ascii="Garamond" w:hAnsi="Garamond"/>
          <w:iCs/>
        </w:rPr>
        <w:t xml:space="preserve">, </w:t>
      </w:r>
      <w:r w:rsidRPr="00B4755D">
        <w:rPr>
          <w:rFonts w:ascii="Garamond" w:hAnsi="Garamond"/>
          <w:i/>
        </w:rPr>
        <w:t>Green</w:t>
      </w:r>
      <w:r w:rsidRPr="00B4755D">
        <w:rPr>
          <w:rFonts w:ascii="Garamond" w:hAnsi="Garamond"/>
          <w:iCs/>
        </w:rPr>
        <w:t>,</w:t>
      </w:r>
      <w:r>
        <w:rPr>
          <w:rFonts w:ascii="Garamond" w:hAnsi="Garamond"/>
        </w:rPr>
        <w:t xml:space="preserve"> 629 N.W.2d at 732 (summarizing the facts of Ms. Green’s case).</w:t>
      </w:r>
    </w:p>
  </w:footnote>
  <w:footnote w:id="63">
    <w:p w14:paraId="7BF34B26" w14:textId="77777777" w:rsidR="00DC73DF" w:rsidRPr="00272085" w:rsidRDefault="00DC73DF" w:rsidP="00C7386C">
      <w:pPr>
        <w:pStyle w:val="FootnoteText"/>
        <w:spacing w:after="0"/>
        <w:ind w:firstLine="0"/>
        <w:rPr>
          <w:rFonts w:ascii="Garamond" w:hAnsi="Garamond"/>
        </w:rPr>
      </w:pPr>
      <w:r w:rsidRPr="00EB50D1">
        <w:rPr>
          <w:rStyle w:val="FootnoteReference"/>
          <w:rFonts w:ascii="Garamond" w:hAnsi="Garamond"/>
        </w:rPr>
        <w:footnoteRef/>
      </w:r>
      <w:r w:rsidRPr="00EB50D1">
        <w:rPr>
          <w:rFonts w:ascii="Garamond" w:hAnsi="Garamond"/>
        </w:rPr>
        <w:t xml:space="preserve"> </w:t>
      </w:r>
      <w:r>
        <w:rPr>
          <w:rFonts w:ascii="Garamond" w:hAnsi="Garamond"/>
        </w:rPr>
        <w:t xml:space="preserve">The outcome under the risk-utility test depends greatly on whether that test is applied with foresight or hindsight. The trend is to apply the test with foresight. For an example of a case with virtually </w:t>
      </w:r>
      <w:r w:rsidRPr="00111FCC">
        <w:rPr>
          <w:rFonts w:ascii="Garamond" w:hAnsi="Garamond"/>
        </w:rPr>
        <w:t>identical facts where the court refused to apply the expectation case and refused to impose liabi</w:t>
      </w:r>
      <w:r>
        <w:rPr>
          <w:rFonts w:ascii="Garamond" w:hAnsi="Garamond"/>
        </w:rPr>
        <w:t xml:space="preserve">lity under the risk-utility </w:t>
      </w:r>
      <w:r w:rsidRPr="00C7386C">
        <w:rPr>
          <w:rFonts w:ascii="Garamond" w:hAnsi="Garamond"/>
        </w:rPr>
        <w:t>test s</w:t>
      </w:r>
      <w:r w:rsidRPr="002D5108">
        <w:rPr>
          <w:rFonts w:ascii="Garamond" w:hAnsi="Garamond"/>
        </w:rPr>
        <w:t>ee</w:t>
      </w:r>
      <w:r w:rsidRPr="00C7386C">
        <w:rPr>
          <w:rFonts w:ascii="Garamond" w:hAnsi="Garamond"/>
        </w:rPr>
        <w:t xml:space="preserve"> </w:t>
      </w:r>
      <w:r w:rsidRPr="00B4755D">
        <w:rPr>
          <w:rFonts w:ascii="Garamond" w:hAnsi="Garamond"/>
          <w:i/>
          <w:iCs/>
        </w:rPr>
        <w:t>Morson v. Superior Court</w:t>
      </w:r>
      <w:r w:rsidRPr="00B4755D">
        <w:rPr>
          <w:rFonts w:ascii="Garamond" w:hAnsi="Garamond"/>
        </w:rPr>
        <w:t>,</w:t>
      </w:r>
      <w:r w:rsidRPr="00111FCC">
        <w:rPr>
          <w:rFonts w:ascii="Garamond" w:hAnsi="Garamond"/>
        </w:rPr>
        <w:t xml:space="preserve"> 90 Cal. App. 4th 775 (2001)</w:t>
      </w:r>
      <w:r>
        <w:rPr>
          <w:rFonts w:ascii="Garamond" w:hAnsi="Garamond"/>
        </w:rPr>
        <w:t>.</w:t>
      </w:r>
    </w:p>
  </w:footnote>
  <w:footnote w:id="64">
    <w:p w14:paraId="3F96D8BB" w14:textId="77777777" w:rsidR="00DC73DF" w:rsidRPr="00272085" w:rsidRDefault="00DC73DF" w:rsidP="00BE39F0">
      <w:pPr>
        <w:pStyle w:val="FootnoteText"/>
        <w:spacing w:after="0"/>
        <w:ind w:firstLine="0"/>
        <w:rPr>
          <w:rFonts w:ascii="Garamond" w:hAnsi="Garamond"/>
        </w:rPr>
      </w:pPr>
      <w:r w:rsidRPr="00272085">
        <w:rPr>
          <w:rStyle w:val="FootnoteReference"/>
          <w:rFonts w:ascii="Garamond" w:hAnsi="Garamond"/>
        </w:rPr>
        <w:footnoteRef/>
      </w:r>
      <w:r w:rsidRPr="00272085">
        <w:rPr>
          <w:rFonts w:ascii="Garamond" w:hAnsi="Garamond"/>
        </w:rPr>
        <w:t xml:space="preserve"> </w:t>
      </w:r>
      <w:r w:rsidRPr="00B4755D">
        <w:rPr>
          <w:rFonts w:ascii="Garamond" w:hAnsi="Garamond"/>
          <w:i/>
        </w:rPr>
        <w:t>Green</w:t>
      </w:r>
      <w:r w:rsidRPr="00B4755D">
        <w:rPr>
          <w:rFonts w:ascii="Garamond" w:hAnsi="Garamond"/>
          <w:iCs/>
        </w:rPr>
        <w:t>,</w:t>
      </w:r>
      <w:r w:rsidRPr="00272085">
        <w:rPr>
          <w:rFonts w:ascii="Garamond" w:hAnsi="Garamond"/>
        </w:rPr>
        <w:t xml:space="preserve"> 629 N.W.2d at 735. </w:t>
      </w:r>
    </w:p>
  </w:footnote>
  <w:footnote w:id="65">
    <w:p w14:paraId="19055561" w14:textId="32756158" w:rsidR="00DC73DF" w:rsidRPr="00EB50D1" w:rsidRDefault="00DC73DF" w:rsidP="001B0AC7">
      <w:pPr>
        <w:pStyle w:val="FootnoteText"/>
        <w:spacing w:after="0"/>
        <w:ind w:firstLine="0"/>
        <w:rPr>
          <w:rFonts w:ascii="Garamond" w:hAnsi="Garamond"/>
        </w:rPr>
      </w:pPr>
      <w:r w:rsidRPr="00EB50D1">
        <w:rPr>
          <w:rStyle w:val="FootnoteReference"/>
          <w:rFonts w:ascii="Garamond" w:hAnsi="Garamond"/>
        </w:rPr>
        <w:footnoteRef/>
      </w:r>
      <w:r w:rsidRPr="00EB50D1">
        <w:rPr>
          <w:rFonts w:ascii="Garamond" w:hAnsi="Garamond"/>
        </w:rPr>
        <w:t xml:space="preserve"> </w:t>
      </w:r>
      <w:r w:rsidRPr="00EB50D1">
        <w:rPr>
          <w:rFonts w:ascii="Garamond" w:hAnsi="Garamond"/>
          <w:iCs/>
          <w:lang w:val="en-CA"/>
        </w:rPr>
        <w:t xml:space="preserve">The </w:t>
      </w:r>
      <w:r w:rsidRPr="00B4755D">
        <w:rPr>
          <w:rFonts w:ascii="Garamond" w:hAnsi="Garamond"/>
          <w:i/>
          <w:iCs/>
          <w:lang w:val="en-CA"/>
        </w:rPr>
        <w:t>Green</w:t>
      </w:r>
      <w:r w:rsidRPr="00B4755D">
        <w:rPr>
          <w:rFonts w:ascii="Garamond" w:hAnsi="Garamond"/>
          <w:lang w:val="en-CA"/>
        </w:rPr>
        <w:t xml:space="preserve"> </w:t>
      </w:r>
      <w:r w:rsidRPr="00C7386C">
        <w:rPr>
          <w:rFonts w:ascii="Garamond" w:hAnsi="Garamond"/>
          <w:lang w:val="en-CA"/>
        </w:rPr>
        <w:t>opinion</w:t>
      </w:r>
      <w:r w:rsidRPr="00EB50D1">
        <w:rPr>
          <w:rFonts w:ascii="Garamond" w:hAnsi="Garamond"/>
          <w:iCs/>
          <w:lang w:val="en-CA"/>
        </w:rPr>
        <w:t xml:space="preserve"> would have been better if the court had discussed just what kind of expectation was disappointed by the product failure. Not every consumer expectation is reasonable.  On the one hand, some expectations are mere wishful thinking. It would, for example, be wishful thinking to expect that no user would ever have an allergic reaction to a product. Idiosyncratic reactions exist. A </w:t>
      </w:r>
      <w:r w:rsidRPr="00EB50D1">
        <w:rPr>
          <w:rFonts w:ascii="Garamond" w:hAnsi="Garamond"/>
          <w:iCs/>
        </w:rPr>
        <w:t xml:space="preserve">one-in-a-billion susceptibility to illness does not impugn a product’s safety under the expectation test.  We take the one-in-a-billion reaction to reflect a rare sensitivity on the part of the victim. </w:t>
      </w:r>
      <w:r w:rsidRPr="00EB50D1">
        <w:rPr>
          <w:rFonts w:ascii="Garamond" w:hAnsi="Garamond"/>
          <w:iCs/>
          <w:lang w:val="en-CA"/>
        </w:rPr>
        <w:t xml:space="preserve">What’s surprising and disappointing about latex gloves is that </w:t>
      </w:r>
      <w:r w:rsidRPr="00EB50D1">
        <w:rPr>
          <w:rFonts w:ascii="Garamond" w:hAnsi="Garamond"/>
          <w:i/>
          <w:iCs/>
          <w:lang w:val="en-CA"/>
        </w:rPr>
        <w:t>so many</w:t>
      </w:r>
      <w:r w:rsidRPr="00EB50D1">
        <w:rPr>
          <w:rFonts w:ascii="Garamond" w:hAnsi="Garamond"/>
          <w:iCs/>
          <w:lang w:val="en-CA"/>
        </w:rPr>
        <w:t xml:space="preserve"> users (5 to 17 percent) suffer severe harm. On, the other hand, it asks too much to expect consumers to form expectations about underlying mechanisms of possible product malfunction. </w:t>
      </w:r>
      <w:r w:rsidRPr="00EB50D1">
        <w:rPr>
          <w:rFonts w:ascii="Garamond" w:hAnsi="Garamond"/>
        </w:rPr>
        <w:t xml:space="preserve">The </w:t>
      </w:r>
      <w:r w:rsidRPr="00B4755D">
        <w:rPr>
          <w:rFonts w:ascii="Garamond" w:hAnsi="Garamond"/>
          <w:i/>
        </w:rPr>
        <w:t>Green</w:t>
      </w:r>
      <w:r w:rsidRPr="00B4755D">
        <w:rPr>
          <w:rFonts w:ascii="Garamond" w:hAnsi="Garamond"/>
          <w:iCs/>
        </w:rPr>
        <w:t xml:space="preserve"> court</w:t>
      </w:r>
      <w:r w:rsidRPr="00EB50D1">
        <w:rPr>
          <w:rFonts w:ascii="Garamond" w:hAnsi="Garamond"/>
        </w:rPr>
        <w:t xml:space="preserve"> agreed with the defendant that “most consumers </w:t>
      </w:r>
      <w:r w:rsidR="00C7386C">
        <w:rPr>
          <w:rFonts w:ascii="Garamond" w:hAnsi="Garamond"/>
        </w:rPr>
        <w:t>. . .</w:t>
      </w:r>
      <w:r w:rsidRPr="00EB50D1">
        <w:rPr>
          <w:rFonts w:ascii="Garamond" w:hAnsi="Garamond"/>
        </w:rPr>
        <w:t xml:space="preserve"> generally do not have expectations about </w:t>
      </w:r>
      <w:r w:rsidR="00C7386C">
        <w:rPr>
          <w:rFonts w:ascii="Garamond" w:hAnsi="Garamond"/>
        </w:rPr>
        <w:t>. . .</w:t>
      </w:r>
      <w:r w:rsidRPr="00EB50D1">
        <w:rPr>
          <w:rFonts w:ascii="Garamond" w:hAnsi="Garamond"/>
        </w:rPr>
        <w:t xml:space="preserve"> technical or mechanical design aspects of the product.” It disagreed over whether such expectations are necessary. What it found necessary was a secure and reasonable expecta</w:t>
      </w:r>
      <w:r>
        <w:rPr>
          <w:rFonts w:ascii="Garamond" w:hAnsi="Garamond"/>
        </w:rPr>
        <w:t>tion about product performance.</w:t>
      </w:r>
    </w:p>
  </w:footnote>
  <w:footnote w:id="66">
    <w:p w14:paraId="7CA91CBD" w14:textId="77777777" w:rsidR="00DC73DF" w:rsidRPr="00EB50D1" w:rsidRDefault="00DC73DF" w:rsidP="00BE39F0">
      <w:pPr>
        <w:pStyle w:val="FootnoteText"/>
        <w:spacing w:after="0"/>
        <w:ind w:firstLine="0"/>
        <w:rPr>
          <w:rFonts w:ascii="Garamond" w:hAnsi="Garamond"/>
        </w:rPr>
      </w:pPr>
      <w:r w:rsidRPr="00272085">
        <w:rPr>
          <w:rStyle w:val="FootnoteReference"/>
          <w:rFonts w:ascii="Garamond" w:hAnsi="Garamond"/>
        </w:rPr>
        <w:footnoteRef/>
      </w:r>
      <w:r w:rsidRPr="00272085">
        <w:rPr>
          <w:rFonts w:ascii="Garamond" w:hAnsi="Garamond"/>
        </w:rPr>
        <w:t xml:space="preserve"> </w:t>
      </w:r>
      <w:r w:rsidRPr="00EB50D1">
        <w:rPr>
          <w:rFonts w:ascii="Garamond" w:hAnsi="Garamond"/>
        </w:rPr>
        <w:t xml:space="preserve">The term “statistical lives” was coined by Schelling, </w:t>
      </w:r>
      <w:r w:rsidRPr="00B4755D">
        <w:rPr>
          <w:rFonts w:ascii="Garamond" w:hAnsi="Garamond"/>
          <w:i/>
        </w:rPr>
        <w:t>The Life You Save May Be Your Own</w:t>
      </w:r>
      <w:r w:rsidRPr="00B4755D">
        <w:rPr>
          <w:rFonts w:ascii="Garamond" w:hAnsi="Garamond"/>
          <w:iCs/>
        </w:rPr>
        <w:t xml:space="preserve">, </w:t>
      </w:r>
      <w:r w:rsidRPr="00B4755D">
        <w:rPr>
          <w:rFonts w:ascii="Garamond" w:hAnsi="Garamond"/>
          <w:i/>
        </w:rPr>
        <w:t>supra</w:t>
      </w:r>
      <w:r w:rsidRPr="00EB50D1">
        <w:rPr>
          <w:rFonts w:ascii="Garamond" w:hAnsi="Garamond"/>
        </w:rPr>
        <w:t xml:space="preserve"> note</w:t>
      </w:r>
      <w:r>
        <w:rPr>
          <w:rFonts w:ascii="Garamond" w:hAnsi="Garamond"/>
        </w:rPr>
        <w:t xml:space="preserve"> </w:t>
      </w:r>
      <w:r>
        <w:rPr>
          <w:rFonts w:ascii="Garamond" w:hAnsi="Garamond"/>
        </w:rPr>
        <w:fldChar w:fldCharType="begin"/>
      </w:r>
      <w:r>
        <w:rPr>
          <w:rFonts w:ascii="Garamond" w:hAnsi="Garamond"/>
        </w:rPr>
        <w:instrText xml:space="preserve"> NOTEREF _Ref357935734 \h </w:instrText>
      </w:r>
      <w:r>
        <w:rPr>
          <w:rFonts w:ascii="Garamond" w:hAnsi="Garamond"/>
        </w:rPr>
      </w:r>
      <w:r>
        <w:rPr>
          <w:rFonts w:ascii="Garamond" w:hAnsi="Garamond"/>
        </w:rPr>
        <w:fldChar w:fldCharType="separate"/>
      </w:r>
      <w:r>
        <w:rPr>
          <w:rFonts w:ascii="Garamond" w:hAnsi="Garamond"/>
        </w:rPr>
        <w:t>46</w:t>
      </w:r>
      <w:r>
        <w:rPr>
          <w:rFonts w:ascii="Garamond" w:hAnsi="Garamond"/>
        </w:rPr>
        <w:fldChar w:fldCharType="end"/>
      </w:r>
      <w:r w:rsidRPr="00EB50D1">
        <w:rPr>
          <w:rFonts w:ascii="Garamond" w:hAnsi="Garamond"/>
        </w:rPr>
        <w:t xml:space="preserve">. Schelling distinguished statistical lives from “identified” ones. Identified lives are actual persons who will live if certain steps are taken and die if they are not. Statistical lives are abstract lives; they are the lives that will be saved down the road if some precaution is taken, or some safety program is implemented. Statistical lives are not identifiable at the time a precaution is taken, and may remain unidentifiable even after a precaution has been implemented and has saved lives. The term was coined by Schelling, but the phenomenon had been recognized before it was named. </w:t>
      </w:r>
      <w:r w:rsidRPr="00B4755D">
        <w:rPr>
          <w:rFonts w:ascii="Garamond" w:hAnsi="Garamond"/>
          <w:i/>
        </w:rPr>
        <w:t>See</w:t>
      </w:r>
      <w:r w:rsidRPr="00C7386C">
        <w:rPr>
          <w:rFonts w:ascii="Garamond" w:hAnsi="Garamond"/>
          <w:iCs/>
        </w:rPr>
        <w:t xml:space="preserve"> </w:t>
      </w:r>
      <w:r w:rsidRPr="00EB50D1">
        <w:rPr>
          <w:rFonts w:ascii="Garamond" w:hAnsi="Garamond"/>
        </w:rPr>
        <w:t xml:space="preserve">Guido Calabresi, </w:t>
      </w:r>
      <w:r w:rsidRPr="00B4755D">
        <w:rPr>
          <w:rFonts w:ascii="Garamond" w:hAnsi="Garamond"/>
          <w:i/>
        </w:rPr>
        <w:t>The Decision for Accidents: An Approach to Nonfault Allocation of Costs</w:t>
      </w:r>
      <w:r w:rsidRPr="00B4755D">
        <w:rPr>
          <w:rFonts w:ascii="Garamond" w:hAnsi="Garamond"/>
          <w:iCs/>
        </w:rPr>
        <w:t>,</w:t>
      </w:r>
      <w:r w:rsidRPr="00EB50D1">
        <w:rPr>
          <w:rFonts w:ascii="Garamond" w:hAnsi="Garamond"/>
        </w:rPr>
        <w:t xml:space="preserve"> 78 </w:t>
      </w:r>
      <w:r w:rsidRPr="00B4755D">
        <w:rPr>
          <w:rFonts w:ascii="Garamond" w:hAnsi="Garamond"/>
          <w:smallCaps/>
        </w:rPr>
        <w:t>Harv L. Rev.</w:t>
      </w:r>
      <w:r w:rsidRPr="00B4755D">
        <w:rPr>
          <w:rFonts w:ascii="Garamond" w:hAnsi="Garamond"/>
        </w:rPr>
        <w:t xml:space="preserve"> </w:t>
      </w:r>
      <w:r w:rsidRPr="00EB50D1">
        <w:rPr>
          <w:rFonts w:ascii="Garamond" w:hAnsi="Garamond"/>
        </w:rPr>
        <w:t xml:space="preserve">713 </w:t>
      </w:r>
      <w:r>
        <w:rPr>
          <w:rFonts w:ascii="Garamond" w:hAnsi="Garamond"/>
        </w:rPr>
        <w:t>(1965).</w:t>
      </w:r>
    </w:p>
  </w:footnote>
  <w:footnote w:id="67">
    <w:p w14:paraId="7EC068D4" w14:textId="77777777" w:rsidR="00DC73DF" w:rsidRPr="00EB50D1" w:rsidRDefault="00DC73DF" w:rsidP="0033568D">
      <w:pPr>
        <w:pStyle w:val="FootnoteText"/>
        <w:spacing w:after="0"/>
        <w:ind w:firstLine="0"/>
        <w:rPr>
          <w:rFonts w:ascii="Garamond" w:hAnsi="Garamond"/>
        </w:rPr>
      </w:pPr>
      <w:r w:rsidRPr="00EB50D1">
        <w:rPr>
          <w:rStyle w:val="FootnoteReference"/>
          <w:rFonts w:ascii="Garamond" w:hAnsi="Garamond"/>
        </w:rPr>
        <w:footnoteRef/>
      </w:r>
      <w:r w:rsidRPr="00EB50D1">
        <w:rPr>
          <w:rFonts w:ascii="Garamond" w:hAnsi="Garamond"/>
        </w:rPr>
        <w:t xml:space="preserve"> </w:t>
      </w:r>
      <w:r w:rsidRPr="00EB50D1">
        <w:rPr>
          <w:rFonts w:ascii="Garamond" w:hAnsi="Garamond"/>
          <w:iCs/>
        </w:rPr>
        <w:t xml:space="preserve">The questions raised by the distinction between “statistical” and “identified” lives in the rescue context are multiple and difficult. For one thing, if we suppose that even the best of precautions will not prevent all accidents, it may be eminently rational in even a cost-benefit sense to commit ourselves in advance to rescue practices which look extravagant at the time we undertake them. For another, </w:t>
      </w:r>
      <w:r w:rsidRPr="00B4755D">
        <w:rPr>
          <w:rFonts w:ascii="Garamond" w:hAnsi="Garamond"/>
          <w:i/>
          <w:iCs/>
        </w:rPr>
        <w:t>contra</w:t>
      </w:r>
      <w:r w:rsidRPr="00B4755D">
        <w:rPr>
          <w:rFonts w:ascii="Garamond" w:hAnsi="Garamond"/>
        </w:rPr>
        <w:t xml:space="preserve"> </w:t>
      </w:r>
      <w:r w:rsidRPr="00EB50D1">
        <w:rPr>
          <w:rFonts w:ascii="Garamond" w:hAnsi="Garamond"/>
          <w:iCs/>
        </w:rPr>
        <w:t>Schelling</w:t>
      </w:r>
      <w:r>
        <w:rPr>
          <w:rFonts w:ascii="Garamond" w:hAnsi="Garamond"/>
          <w:iCs/>
        </w:rPr>
        <w:t>,</w:t>
      </w:r>
      <w:r w:rsidRPr="00EB50D1">
        <w:rPr>
          <w:rFonts w:ascii="Garamond" w:hAnsi="Garamond"/>
          <w:iCs/>
        </w:rPr>
        <w:t xml:space="preserve"> the distinction between identified and statistical lives may make a major moral difference. Obligations may be owed to actual persons, but not to theoretical constructs. </w:t>
      </w:r>
      <w:r w:rsidRPr="00B4755D">
        <w:rPr>
          <w:rFonts w:ascii="Garamond" w:hAnsi="Garamond"/>
          <w:i/>
          <w:iCs/>
        </w:rPr>
        <w:t>See</w:t>
      </w:r>
      <w:r w:rsidRPr="00B4755D">
        <w:rPr>
          <w:rFonts w:ascii="Garamond" w:hAnsi="Garamond"/>
        </w:rPr>
        <w:t xml:space="preserve"> </w:t>
      </w:r>
      <w:r w:rsidRPr="007C1EB6">
        <w:rPr>
          <w:rFonts w:ascii="Garamond" w:hAnsi="Garamond"/>
          <w:iCs/>
        </w:rPr>
        <w:t xml:space="preserve">Johann Frick, </w:t>
      </w:r>
      <w:r w:rsidRPr="00B4755D">
        <w:rPr>
          <w:rFonts w:ascii="Garamond" w:hAnsi="Garamond"/>
          <w:i/>
          <w:iCs/>
        </w:rPr>
        <w:t>Contractualism and Social Risk</w:t>
      </w:r>
      <w:r w:rsidRPr="007C1EB6">
        <w:rPr>
          <w:rFonts w:ascii="Garamond" w:hAnsi="Garamond"/>
          <w:iCs/>
        </w:rPr>
        <w:t xml:space="preserve">, 43 </w:t>
      </w:r>
      <w:r w:rsidRPr="00B4755D">
        <w:rPr>
          <w:rFonts w:ascii="Garamond" w:hAnsi="Garamond"/>
          <w:iCs/>
          <w:smallCaps/>
        </w:rPr>
        <w:t>Philosophy and Public Affairs</w:t>
      </w:r>
      <w:r>
        <w:rPr>
          <w:rFonts w:ascii="Garamond" w:hAnsi="Garamond"/>
          <w:iCs/>
        </w:rPr>
        <w:t>, 175</w:t>
      </w:r>
      <w:r w:rsidRPr="007C1EB6">
        <w:rPr>
          <w:rFonts w:ascii="Garamond" w:hAnsi="Garamond"/>
          <w:iCs/>
        </w:rPr>
        <w:t xml:space="preserve"> (2015)</w:t>
      </w:r>
      <w:r w:rsidRPr="00EB50D1">
        <w:rPr>
          <w:rFonts w:ascii="Garamond" w:hAnsi="Garamond"/>
          <w:iCs/>
        </w:rPr>
        <w:t xml:space="preserve">. These complexities are beyond the scope of this paper. </w:t>
      </w:r>
    </w:p>
  </w:footnote>
  <w:footnote w:id="68">
    <w:p w14:paraId="36829C0E" w14:textId="77777777" w:rsidR="00DC73DF" w:rsidRPr="00EB50D1" w:rsidRDefault="00DC73DF" w:rsidP="0033568D">
      <w:pPr>
        <w:pStyle w:val="FootnoteText"/>
        <w:spacing w:after="0"/>
        <w:ind w:firstLine="0"/>
        <w:rPr>
          <w:rFonts w:ascii="Garamond" w:hAnsi="Garamond"/>
          <w:i/>
        </w:rPr>
      </w:pPr>
      <w:r w:rsidRPr="00EB50D1">
        <w:rPr>
          <w:rStyle w:val="FootnoteReference"/>
          <w:rFonts w:ascii="Garamond" w:hAnsi="Garamond"/>
        </w:rPr>
        <w:footnoteRef/>
      </w:r>
      <w:r w:rsidRPr="00EB50D1">
        <w:rPr>
          <w:rFonts w:ascii="Garamond" w:hAnsi="Garamond"/>
        </w:rPr>
        <w:t xml:space="preserve"> </w:t>
      </w:r>
      <w:r w:rsidRPr="00EB50D1">
        <w:rPr>
          <w:rFonts w:ascii="Garamond" w:hAnsi="Garamond"/>
          <w:iCs/>
        </w:rPr>
        <w:t xml:space="preserve">Rescues give the question of appropriate precaution a particular posture. The question is not what risk some people may impose on others, but what costs—including risks of death—rescuers may reasonably take upon themselves to save the lives or others. </w:t>
      </w:r>
      <w:r w:rsidRPr="00EB50D1">
        <w:rPr>
          <w:rFonts w:ascii="Garamond" w:hAnsi="Garamond"/>
        </w:rPr>
        <w:t xml:space="preserve">The important common law case </w:t>
      </w:r>
      <w:r w:rsidRPr="00B4755D">
        <w:rPr>
          <w:rFonts w:ascii="Garamond" w:hAnsi="Garamond"/>
          <w:i/>
        </w:rPr>
        <w:t>Eckert v. Long Island RR</w:t>
      </w:r>
      <w:r w:rsidRPr="00EB50D1">
        <w:rPr>
          <w:rFonts w:ascii="Garamond" w:hAnsi="Garamond"/>
        </w:rPr>
        <w:t xml:space="preserve"> has this posture. Here, too, the court’s analysis of whether the rescue was prudent appears to be governed by a norm of possibility or feasibility. </w:t>
      </w:r>
      <w:r w:rsidRPr="00B4755D">
        <w:rPr>
          <w:rFonts w:ascii="Garamond" w:hAnsi="Garamond"/>
          <w:i/>
        </w:rPr>
        <w:t>Eckert v. Long Island RR</w:t>
      </w:r>
      <w:r w:rsidRPr="00EB50D1">
        <w:rPr>
          <w:rFonts w:ascii="Garamond" w:hAnsi="Garamond"/>
        </w:rPr>
        <w:t>, 57 Barb. 555 (N.Y. 1870).</w:t>
      </w:r>
    </w:p>
  </w:footnote>
  <w:footnote w:id="69">
    <w:p w14:paraId="4BA9957C" w14:textId="77777777" w:rsidR="00DC73DF" w:rsidRPr="00EB50D1" w:rsidRDefault="00DC73DF" w:rsidP="0033568D">
      <w:pPr>
        <w:pStyle w:val="FootnoteText"/>
        <w:ind w:firstLine="0"/>
        <w:rPr>
          <w:rFonts w:ascii="Garamond" w:hAnsi="Garamond"/>
        </w:rPr>
      </w:pPr>
      <w:r w:rsidRPr="00EB50D1">
        <w:rPr>
          <w:rStyle w:val="FootnoteReference"/>
          <w:rFonts w:ascii="Garamond" w:hAnsi="Garamond"/>
        </w:rPr>
        <w:footnoteRef/>
      </w:r>
      <w:r w:rsidRPr="00EB50D1">
        <w:rPr>
          <w:rFonts w:ascii="Garamond" w:hAnsi="Garamond"/>
        </w:rPr>
        <w:t xml:space="preserve"> </w:t>
      </w:r>
      <w:r w:rsidRPr="00B4755D">
        <w:rPr>
          <w:rFonts w:ascii="Garamond" w:hAnsi="Garamond"/>
          <w:smallCaps/>
        </w:rPr>
        <w:t>Philip Caputo, A Rumor of War</w:t>
      </w:r>
      <w:r w:rsidRPr="00EB50D1">
        <w:rPr>
          <w:rFonts w:ascii="Garamond" w:hAnsi="Garamond"/>
        </w:rPr>
        <w:t>, vii (1977). I owe the Caputo example to Douglas MacLean</w:t>
      </w:r>
      <w:r w:rsidRPr="00EB50D1">
        <w:rPr>
          <w:rFonts w:ascii="Garamond" w:hAnsi="Garamond"/>
          <w:i/>
        </w:rPr>
        <w:t xml:space="preserve">, </w:t>
      </w:r>
      <w:r w:rsidRPr="00B4755D">
        <w:rPr>
          <w:rFonts w:ascii="Garamond" w:hAnsi="Garamond"/>
          <w:i/>
        </w:rPr>
        <w:t>Cost-Benefit Analysis and Procedural Values</w:t>
      </w:r>
      <w:r w:rsidRPr="00EB50D1">
        <w:rPr>
          <w:rFonts w:ascii="Garamond" w:hAnsi="Garamond"/>
        </w:rPr>
        <w:t xml:space="preserve">, 16 Analyse &amp; Kritik 166, 172 (1994). A more recent example can be found in </w:t>
      </w:r>
      <w:r w:rsidRPr="00B4755D">
        <w:rPr>
          <w:rFonts w:ascii="Garamond" w:hAnsi="Garamond"/>
          <w:i/>
        </w:rPr>
        <w:t>Black Hawk Down</w:t>
      </w:r>
      <w:r w:rsidRPr="00B4755D">
        <w:rPr>
          <w:rFonts w:ascii="Garamond" w:hAnsi="Garamond"/>
          <w:iCs/>
        </w:rPr>
        <w:t xml:space="preserve"> </w:t>
      </w:r>
      <w:r w:rsidRPr="00EB50D1">
        <w:rPr>
          <w:rFonts w:ascii="Garamond" w:hAnsi="Garamond"/>
        </w:rPr>
        <w:t>(book written by Mark Bowden in 1999, film released in 2001). During the Battle of Mogadishu in 1993 the United States sent soldiers to rescue the crews of downed Black Hawk helicopters, notwithstanding the enormous risk involved. A number of soldiers have been posthumously awarded the Medal of Honor—the highest military honor in the United States—for sacrificing their own lives in such rescue attempts.</w:t>
      </w:r>
    </w:p>
  </w:footnote>
  <w:footnote w:id="70">
    <w:p w14:paraId="43D88C11" w14:textId="77777777" w:rsidR="00DC73DF" w:rsidRPr="00272085" w:rsidRDefault="00DC73DF" w:rsidP="0033568D">
      <w:pPr>
        <w:pStyle w:val="FootnoteText"/>
        <w:spacing w:after="0"/>
        <w:ind w:firstLine="0"/>
        <w:rPr>
          <w:rFonts w:ascii="Garamond" w:hAnsi="Garamond"/>
        </w:rPr>
      </w:pPr>
      <w:r w:rsidRPr="00272085">
        <w:rPr>
          <w:rStyle w:val="FootnoteReference"/>
          <w:rFonts w:ascii="Garamond" w:hAnsi="Garamond"/>
        </w:rPr>
        <w:footnoteRef/>
      </w:r>
      <w:r w:rsidRPr="00272085">
        <w:rPr>
          <w:rFonts w:ascii="Garamond" w:hAnsi="Garamond"/>
        </w:rPr>
        <w:t xml:space="preserve"> </w:t>
      </w:r>
      <w:r w:rsidRPr="00B4755D">
        <w:rPr>
          <w:rFonts w:ascii="Garamond" w:hAnsi="Garamond"/>
          <w:i/>
        </w:rPr>
        <w:t>Vincent v. Lake Erie Transp. Co.</w:t>
      </w:r>
      <w:r w:rsidRPr="00B4755D">
        <w:rPr>
          <w:rFonts w:ascii="Garamond" w:hAnsi="Garamond"/>
          <w:iCs/>
        </w:rPr>
        <w:t>,</w:t>
      </w:r>
      <w:r w:rsidRPr="00272085">
        <w:rPr>
          <w:rFonts w:ascii="Garamond" w:hAnsi="Garamond"/>
        </w:rPr>
        <w:t xml:space="preserve"> 124 N.W. 221 (Minn. 1910).</w:t>
      </w:r>
      <w:r>
        <w:rPr>
          <w:rFonts w:ascii="Garamond" w:hAnsi="Garamond"/>
        </w:rPr>
        <w:t xml:space="preserve"> In </w:t>
      </w:r>
      <w:r w:rsidRPr="000B1720">
        <w:rPr>
          <w:rFonts w:ascii="Garamond" w:hAnsi="Garamond"/>
          <w:i/>
        </w:rPr>
        <w:t>Vincent</w:t>
      </w:r>
      <w:r>
        <w:rPr>
          <w:rFonts w:ascii="Garamond" w:hAnsi="Garamond"/>
        </w:rPr>
        <w:t xml:space="preserve">, a ship was lashed to a dock to avoid being cast out to sea in a storm. The ship’s otherwise trespassory entry onto the plaintiff’s property was held to be privileged under the doctrine of necessity, but the privilege was held to be conditional. Defendant was allowed to dock without permission but had to repair the damage it did to the dock. </w:t>
      </w:r>
    </w:p>
  </w:footnote>
  <w:footnote w:id="71">
    <w:p w14:paraId="68C3DD93" w14:textId="576F21F2" w:rsidR="00FC6639" w:rsidRPr="00C97C33" w:rsidRDefault="00FC6639" w:rsidP="00544B00">
      <w:pPr>
        <w:pStyle w:val="FootnoteText"/>
        <w:spacing w:after="0"/>
        <w:ind w:firstLine="0"/>
        <w:rPr>
          <w:rFonts w:ascii="Garamond" w:hAnsi="Garamond"/>
        </w:rPr>
      </w:pPr>
      <w:r w:rsidRPr="00C97C33">
        <w:rPr>
          <w:rStyle w:val="FootnoteReference"/>
          <w:rFonts w:ascii="Garamond" w:hAnsi="Garamond"/>
        </w:rPr>
        <w:footnoteRef/>
      </w:r>
      <w:r w:rsidRPr="00C97C33">
        <w:rPr>
          <w:rFonts w:ascii="Garamond" w:hAnsi="Garamond"/>
        </w:rPr>
        <w:t xml:space="preserve"> Hershovitz 2011, </w:t>
      </w:r>
      <w:r>
        <w:rPr>
          <w:rFonts w:ascii="Garamond" w:hAnsi="Garamond"/>
        </w:rPr>
        <w:t xml:space="preserve">at </w:t>
      </w:r>
      <w:r w:rsidRPr="00C97C33">
        <w:rPr>
          <w:rFonts w:ascii="Garamond" w:hAnsi="Garamond"/>
        </w:rPr>
        <w:t>110.</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1491"/>
    <w:multiLevelType w:val="hybridMultilevel"/>
    <w:tmpl w:val="92565E92"/>
    <w:lvl w:ilvl="0" w:tplc="A3128F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817FCE"/>
    <w:multiLevelType w:val="hybridMultilevel"/>
    <w:tmpl w:val="BF1C1564"/>
    <w:lvl w:ilvl="0" w:tplc="A3128F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C5527E"/>
    <w:multiLevelType w:val="hybridMultilevel"/>
    <w:tmpl w:val="7EAAD0F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1139B6"/>
    <w:multiLevelType w:val="hybridMultilevel"/>
    <w:tmpl w:val="80F23526"/>
    <w:lvl w:ilvl="0" w:tplc="F30A80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156BFC"/>
    <w:multiLevelType w:val="hybridMultilevel"/>
    <w:tmpl w:val="10E8E56E"/>
    <w:lvl w:ilvl="0" w:tplc="95E8893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3A5EF5"/>
    <w:multiLevelType w:val="hybridMultilevel"/>
    <w:tmpl w:val="64824364"/>
    <w:lvl w:ilvl="0" w:tplc="3E6075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B25836"/>
    <w:multiLevelType w:val="hybridMultilevel"/>
    <w:tmpl w:val="B950B06A"/>
    <w:lvl w:ilvl="0" w:tplc="2D988E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385049"/>
    <w:multiLevelType w:val="hybridMultilevel"/>
    <w:tmpl w:val="A464FF16"/>
    <w:lvl w:ilvl="0" w:tplc="A3128F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FCF357E"/>
    <w:multiLevelType w:val="hybridMultilevel"/>
    <w:tmpl w:val="5058A256"/>
    <w:lvl w:ilvl="0" w:tplc="4422597E">
      <w:start w:val="1"/>
      <w:numFmt w:val="upperRoman"/>
      <w:lvlText w:val="%1."/>
      <w:lvlJc w:val="left"/>
      <w:pPr>
        <w:ind w:left="126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9D62CC"/>
    <w:multiLevelType w:val="hybridMultilevel"/>
    <w:tmpl w:val="5F2EDB50"/>
    <w:lvl w:ilvl="0" w:tplc="A3128F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6554D5"/>
    <w:multiLevelType w:val="hybridMultilevel"/>
    <w:tmpl w:val="FFBA4A2E"/>
    <w:lvl w:ilvl="0" w:tplc="F1BAEF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902D18"/>
    <w:multiLevelType w:val="hybridMultilevel"/>
    <w:tmpl w:val="409AA206"/>
    <w:lvl w:ilvl="0" w:tplc="489ACE84">
      <w:start w:val="9"/>
      <w:numFmt w:val="upperRoman"/>
      <w:lvlText w:val="%1."/>
      <w:lvlJc w:val="left"/>
      <w:pPr>
        <w:ind w:left="12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8346FC"/>
    <w:multiLevelType w:val="hybridMultilevel"/>
    <w:tmpl w:val="EE5A92F8"/>
    <w:lvl w:ilvl="0" w:tplc="2FF29B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1B0EF5"/>
    <w:multiLevelType w:val="hybridMultilevel"/>
    <w:tmpl w:val="586472FC"/>
    <w:lvl w:ilvl="0" w:tplc="4422597E">
      <w:start w:val="1"/>
      <w:numFmt w:val="upperRoman"/>
      <w:lvlText w:val="%1."/>
      <w:lvlJc w:val="left"/>
      <w:pPr>
        <w:ind w:left="126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C66109"/>
    <w:multiLevelType w:val="hybridMultilevel"/>
    <w:tmpl w:val="40346A9A"/>
    <w:lvl w:ilvl="0" w:tplc="FAF8A0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7E7EB6"/>
    <w:multiLevelType w:val="hybridMultilevel"/>
    <w:tmpl w:val="20E45480"/>
    <w:lvl w:ilvl="0" w:tplc="58F051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9EA1ED7"/>
    <w:multiLevelType w:val="hybridMultilevel"/>
    <w:tmpl w:val="8788CB2A"/>
    <w:lvl w:ilvl="0" w:tplc="33E66A38">
      <w:start w:val="1"/>
      <w:numFmt w:val="decimal"/>
      <w:lvlText w:val="%1."/>
      <w:lvlJc w:val="left"/>
      <w:pPr>
        <w:ind w:left="1665" w:hanging="945"/>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A052BD1"/>
    <w:multiLevelType w:val="hybridMultilevel"/>
    <w:tmpl w:val="B3D8E5AA"/>
    <w:lvl w:ilvl="0" w:tplc="9154BF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A997B50"/>
    <w:multiLevelType w:val="hybridMultilevel"/>
    <w:tmpl w:val="166A47B4"/>
    <w:lvl w:ilvl="0" w:tplc="DE2029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0C2CAE"/>
    <w:multiLevelType w:val="hybridMultilevel"/>
    <w:tmpl w:val="AB5C6B1C"/>
    <w:lvl w:ilvl="0" w:tplc="A3128F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ADC37BA"/>
    <w:multiLevelType w:val="hybridMultilevel"/>
    <w:tmpl w:val="596279E4"/>
    <w:lvl w:ilvl="0" w:tplc="289EA8EE">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B1B4C25"/>
    <w:multiLevelType w:val="hybridMultilevel"/>
    <w:tmpl w:val="A24A83A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E551492"/>
    <w:multiLevelType w:val="hybridMultilevel"/>
    <w:tmpl w:val="6B0E8CFC"/>
    <w:lvl w:ilvl="0" w:tplc="41E20D54">
      <w:start w:val="1"/>
      <w:numFmt w:val="upperLetter"/>
      <w:lvlText w:val="%1."/>
      <w:lvlJc w:val="left"/>
      <w:pPr>
        <w:ind w:left="1080" w:hanging="360"/>
      </w:pPr>
      <w:rPr>
        <w:rFonts w:hint="default"/>
        <w:i w:val="0"/>
        <w:iCs/>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022622"/>
    <w:multiLevelType w:val="hybridMultilevel"/>
    <w:tmpl w:val="339C6572"/>
    <w:lvl w:ilvl="0" w:tplc="E25CA7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13C6639"/>
    <w:multiLevelType w:val="hybridMultilevel"/>
    <w:tmpl w:val="4688652A"/>
    <w:lvl w:ilvl="0" w:tplc="EE9432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A597794"/>
    <w:multiLevelType w:val="hybridMultilevel"/>
    <w:tmpl w:val="9236C63E"/>
    <w:lvl w:ilvl="0" w:tplc="E4F4FE1A">
      <w:start w:val="1"/>
      <w:numFmt w:val="upperLetter"/>
      <w:lvlText w:val="%1."/>
      <w:lvlJc w:val="left"/>
      <w:pPr>
        <w:ind w:left="1170" w:hanging="360"/>
      </w:pPr>
      <w:rPr>
        <w:rFonts w:hint="default"/>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15:restartNumberingAfterBreak="0">
    <w:nsid w:val="52913DF9"/>
    <w:multiLevelType w:val="hybridMultilevel"/>
    <w:tmpl w:val="1332D83A"/>
    <w:lvl w:ilvl="0" w:tplc="082272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2B77049"/>
    <w:multiLevelType w:val="hybridMultilevel"/>
    <w:tmpl w:val="E3388246"/>
    <w:lvl w:ilvl="0" w:tplc="56B4AE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DB1090"/>
    <w:multiLevelType w:val="hybridMultilevel"/>
    <w:tmpl w:val="FCA03DFE"/>
    <w:lvl w:ilvl="0" w:tplc="77A0C11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7786FF1"/>
    <w:multiLevelType w:val="hybridMultilevel"/>
    <w:tmpl w:val="7A4E9C0E"/>
    <w:lvl w:ilvl="0" w:tplc="AC7A31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83D6462"/>
    <w:multiLevelType w:val="hybridMultilevel"/>
    <w:tmpl w:val="26A2A13A"/>
    <w:lvl w:ilvl="0" w:tplc="DFD0B476">
      <w:start w:val="2"/>
      <w:numFmt w:val="upperLetter"/>
      <w:lvlText w:val="%1."/>
      <w:lvlJc w:val="left"/>
      <w:pPr>
        <w:ind w:left="108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4A21F4"/>
    <w:multiLevelType w:val="hybridMultilevel"/>
    <w:tmpl w:val="0F50B10A"/>
    <w:lvl w:ilvl="0" w:tplc="D362DC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AD26B0D"/>
    <w:multiLevelType w:val="hybridMultilevel"/>
    <w:tmpl w:val="B1DE2048"/>
    <w:lvl w:ilvl="0" w:tplc="3E6075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AF3786E"/>
    <w:multiLevelType w:val="hybridMultilevel"/>
    <w:tmpl w:val="CF1282AC"/>
    <w:lvl w:ilvl="0" w:tplc="513021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BE10A93"/>
    <w:multiLevelType w:val="hybridMultilevel"/>
    <w:tmpl w:val="53E87594"/>
    <w:lvl w:ilvl="0" w:tplc="6E96D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EFA74AF"/>
    <w:multiLevelType w:val="hybridMultilevel"/>
    <w:tmpl w:val="A052DF9E"/>
    <w:lvl w:ilvl="0" w:tplc="414EA04E">
      <w:start w:val="1"/>
      <w:numFmt w:val="upp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1E37F21"/>
    <w:multiLevelType w:val="hybridMultilevel"/>
    <w:tmpl w:val="44C83640"/>
    <w:lvl w:ilvl="0" w:tplc="9A982F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4B7113B"/>
    <w:multiLevelType w:val="hybridMultilevel"/>
    <w:tmpl w:val="A484DE62"/>
    <w:lvl w:ilvl="0" w:tplc="AA7E3B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78E00E6"/>
    <w:multiLevelType w:val="hybridMultilevel"/>
    <w:tmpl w:val="66B24A34"/>
    <w:lvl w:ilvl="0" w:tplc="1BE6C9F2">
      <w:start w:val="1"/>
      <w:numFmt w:val="decimal"/>
      <w:lvlText w:val="%1."/>
      <w:lvlJc w:val="left"/>
      <w:pPr>
        <w:ind w:left="144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39" w15:restartNumberingAfterBreak="0">
    <w:nsid w:val="680E2235"/>
    <w:multiLevelType w:val="hybridMultilevel"/>
    <w:tmpl w:val="897013B4"/>
    <w:lvl w:ilvl="0" w:tplc="CEA056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A56275C"/>
    <w:multiLevelType w:val="hybridMultilevel"/>
    <w:tmpl w:val="25883066"/>
    <w:lvl w:ilvl="0" w:tplc="27A8DD82">
      <w:start w:val="1"/>
      <w:numFmt w:val="upperLetter"/>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F0151BE"/>
    <w:multiLevelType w:val="hybridMultilevel"/>
    <w:tmpl w:val="7E6ED6E0"/>
    <w:lvl w:ilvl="0" w:tplc="F23451BE">
      <w:start w:val="1"/>
      <w:numFmt w:val="decimal"/>
      <w:lvlText w:val="%1."/>
      <w:lvlJc w:val="left"/>
      <w:pPr>
        <w:ind w:left="1665" w:hanging="945"/>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1360187"/>
    <w:multiLevelType w:val="hybridMultilevel"/>
    <w:tmpl w:val="35229F6E"/>
    <w:lvl w:ilvl="0" w:tplc="D56AE148">
      <w:start w:val="1"/>
      <w:numFmt w:val="decimal"/>
      <w:lvlText w:val="%1."/>
      <w:lvlJc w:val="left"/>
      <w:pPr>
        <w:ind w:left="420" w:hanging="360"/>
      </w:pPr>
      <w:rPr>
        <w:rFonts w:hint="default"/>
        <w:i/>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3" w15:restartNumberingAfterBreak="0">
    <w:nsid w:val="7631149A"/>
    <w:multiLevelType w:val="hybridMultilevel"/>
    <w:tmpl w:val="BFC8FBB0"/>
    <w:lvl w:ilvl="0" w:tplc="42843962">
      <w:start w:val="1"/>
      <w:numFmt w:val="lowerLetter"/>
      <w:lvlText w:val="%1."/>
      <w:lvlJc w:val="left"/>
      <w:pPr>
        <w:ind w:left="1650" w:hanging="93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9FF076E"/>
    <w:multiLevelType w:val="hybridMultilevel"/>
    <w:tmpl w:val="88AEF454"/>
    <w:lvl w:ilvl="0" w:tplc="9A982F7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D72434B"/>
    <w:multiLevelType w:val="hybridMultilevel"/>
    <w:tmpl w:val="32684F72"/>
    <w:lvl w:ilvl="0" w:tplc="78F6DE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FB4DA4"/>
    <w:multiLevelType w:val="hybridMultilevel"/>
    <w:tmpl w:val="DAE2C812"/>
    <w:lvl w:ilvl="0" w:tplc="DD300700">
      <w:start w:val="1"/>
      <w:numFmt w:val="decimal"/>
      <w:lvlText w:val="%1."/>
      <w:lvlJc w:val="left"/>
      <w:pPr>
        <w:ind w:left="1665" w:hanging="945"/>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E5D010E"/>
    <w:multiLevelType w:val="hybridMultilevel"/>
    <w:tmpl w:val="EF0891CE"/>
    <w:lvl w:ilvl="0" w:tplc="94B8B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15"/>
  </w:num>
  <w:num w:numId="3">
    <w:abstractNumId w:val="6"/>
  </w:num>
  <w:num w:numId="4">
    <w:abstractNumId w:val="2"/>
  </w:num>
  <w:num w:numId="5">
    <w:abstractNumId w:val="38"/>
  </w:num>
  <w:num w:numId="6">
    <w:abstractNumId w:val="21"/>
  </w:num>
  <w:num w:numId="7">
    <w:abstractNumId w:val="41"/>
  </w:num>
  <w:num w:numId="8">
    <w:abstractNumId w:val="20"/>
  </w:num>
  <w:num w:numId="9">
    <w:abstractNumId w:val="16"/>
  </w:num>
  <w:num w:numId="10">
    <w:abstractNumId w:val="42"/>
  </w:num>
  <w:num w:numId="11">
    <w:abstractNumId w:val="43"/>
  </w:num>
  <w:num w:numId="12">
    <w:abstractNumId w:val="46"/>
  </w:num>
  <w:num w:numId="13">
    <w:abstractNumId w:val="25"/>
  </w:num>
  <w:num w:numId="14">
    <w:abstractNumId w:val="8"/>
  </w:num>
  <w:num w:numId="15">
    <w:abstractNumId w:val="44"/>
  </w:num>
  <w:num w:numId="16">
    <w:abstractNumId w:val="35"/>
  </w:num>
  <w:num w:numId="17">
    <w:abstractNumId w:val="12"/>
  </w:num>
  <w:num w:numId="18">
    <w:abstractNumId w:val="24"/>
  </w:num>
  <w:num w:numId="19">
    <w:abstractNumId w:val="18"/>
  </w:num>
  <w:num w:numId="20">
    <w:abstractNumId w:val="17"/>
  </w:num>
  <w:num w:numId="21">
    <w:abstractNumId w:val="47"/>
  </w:num>
  <w:num w:numId="22">
    <w:abstractNumId w:val="29"/>
  </w:num>
  <w:num w:numId="23">
    <w:abstractNumId w:val="10"/>
  </w:num>
  <w:num w:numId="24">
    <w:abstractNumId w:val="34"/>
  </w:num>
  <w:num w:numId="25">
    <w:abstractNumId w:val="23"/>
  </w:num>
  <w:num w:numId="26">
    <w:abstractNumId w:val="19"/>
  </w:num>
  <w:num w:numId="27">
    <w:abstractNumId w:val="31"/>
  </w:num>
  <w:num w:numId="28">
    <w:abstractNumId w:val="13"/>
  </w:num>
  <w:num w:numId="29">
    <w:abstractNumId w:val="11"/>
  </w:num>
  <w:num w:numId="30">
    <w:abstractNumId w:val="36"/>
  </w:num>
  <w:num w:numId="31">
    <w:abstractNumId w:val="32"/>
  </w:num>
  <w:num w:numId="32">
    <w:abstractNumId w:val="5"/>
  </w:num>
  <w:num w:numId="33">
    <w:abstractNumId w:val="39"/>
  </w:num>
  <w:num w:numId="34">
    <w:abstractNumId w:val="3"/>
  </w:num>
  <w:num w:numId="35">
    <w:abstractNumId w:val="22"/>
  </w:num>
  <w:num w:numId="36">
    <w:abstractNumId w:val="9"/>
  </w:num>
  <w:num w:numId="37">
    <w:abstractNumId w:val="1"/>
  </w:num>
  <w:num w:numId="38">
    <w:abstractNumId w:val="7"/>
  </w:num>
  <w:num w:numId="39">
    <w:abstractNumId w:val="0"/>
  </w:num>
  <w:num w:numId="40">
    <w:abstractNumId w:val="45"/>
  </w:num>
  <w:num w:numId="41">
    <w:abstractNumId w:val="28"/>
  </w:num>
  <w:num w:numId="42">
    <w:abstractNumId w:val="30"/>
  </w:num>
  <w:num w:numId="43">
    <w:abstractNumId w:val="40"/>
  </w:num>
  <w:num w:numId="44">
    <w:abstractNumId w:val="33"/>
  </w:num>
  <w:num w:numId="45">
    <w:abstractNumId w:val="14"/>
  </w:num>
  <w:num w:numId="46">
    <w:abstractNumId w:val="37"/>
  </w:num>
  <w:num w:numId="47">
    <w:abstractNumId w:val="4"/>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8BD"/>
    <w:rsid w:val="00001000"/>
    <w:rsid w:val="00002E43"/>
    <w:rsid w:val="00003FEF"/>
    <w:rsid w:val="00004A5D"/>
    <w:rsid w:val="00004A8E"/>
    <w:rsid w:val="00004AFE"/>
    <w:rsid w:val="000053AD"/>
    <w:rsid w:val="00005BC8"/>
    <w:rsid w:val="0000625F"/>
    <w:rsid w:val="0000708B"/>
    <w:rsid w:val="000076A9"/>
    <w:rsid w:val="00007A50"/>
    <w:rsid w:val="0001002A"/>
    <w:rsid w:val="0001131B"/>
    <w:rsid w:val="00012358"/>
    <w:rsid w:val="0001260D"/>
    <w:rsid w:val="00012A58"/>
    <w:rsid w:val="00012BCD"/>
    <w:rsid w:val="00012D83"/>
    <w:rsid w:val="00012FF2"/>
    <w:rsid w:val="00013F00"/>
    <w:rsid w:val="00015530"/>
    <w:rsid w:val="00015E17"/>
    <w:rsid w:val="000161D9"/>
    <w:rsid w:val="00016BD1"/>
    <w:rsid w:val="00017537"/>
    <w:rsid w:val="00020389"/>
    <w:rsid w:val="0002044E"/>
    <w:rsid w:val="0002078D"/>
    <w:rsid w:val="000213B4"/>
    <w:rsid w:val="0002179B"/>
    <w:rsid w:val="00022BE9"/>
    <w:rsid w:val="000231AD"/>
    <w:rsid w:val="00023399"/>
    <w:rsid w:val="000235F0"/>
    <w:rsid w:val="00023765"/>
    <w:rsid w:val="00023A48"/>
    <w:rsid w:val="000253F1"/>
    <w:rsid w:val="00026819"/>
    <w:rsid w:val="00026DFD"/>
    <w:rsid w:val="00030BC5"/>
    <w:rsid w:val="0003335B"/>
    <w:rsid w:val="000333E2"/>
    <w:rsid w:val="00033846"/>
    <w:rsid w:val="00033A3F"/>
    <w:rsid w:val="00033DB5"/>
    <w:rsid w:val="00033DE3"/>
    <w:rsid w:val="0003479F"/>
    <w:rsid w:val="00034883"/>
    <w:rsid w:val="00035985"/>
    <w:rsid w:val="00035FE7"/>
    <w:rsid w:val="00036645"/>
    <w:rsid w:val="00036CD2"/>
    <w:rsid w:val="0003758F"/>
    <w:rsid w:val="00037EC4"/>
    <w:rsid w:val="00040980"/>
    <w:rsid w:val="00040B4D"/>
    <w:rsid w:val="0004120E"/>
    <w:rsid w:val="0004148A"/>
    <w:rsid w:val="00041F69"/>
    <w:rsid w:val="00042A24"/>
    <w:rsid w:val="00043783"/>
    <w:rsid w:val="00043931"/>
    <w:rsid w:val="0004508F"/>
    <w:rsid w:val="000452AD"/>
    <w:rsid w:val="00045C08"/>
    <w:rsid w:val="00045D2E"/>
    <w:rsid w:val="00046529"/>
    <w:rsid w:val="000467BB"/>
    <w:rsid w:val="00046C00"/>
    <w:rsid w:val="00047146"/>
    <w:rsid w:val="0004759E"/>
    <w:rsid w:val="00050559"/>
    <w:rsid w:val="00050B65"/>
    <w:rsid w:val="00051041"/>
    <w:rsid w:val="00051A1C"/>
    <w:rsid w:val="00051BE4"/>
    <w:rsid w:val="00052AED"/>
    <w:rsid w:val="0005321E"/>
    <w:rsid w:val="00053BE5"/>
    <w:rsid w:val="00054744"/>
    <w:rsid w:val="00054D91"/>
    <w:rsid w:val="00055415"/>
    <w:rsid w:val="000556F3"/>
    <w:rsid w:val="00055E33"/>
    <w:rsid w:val="00056704"/>
    <w:rsid w:val="00056EDE"/>
    <w:rsid w:val="000571DA"/>
    <w:rsid w:val="00057CF1"/>
    <w:rsid w:val="0006028A"/>
    <w:rsid w:val="00060ADB"/>
    <w:rsid w:val="00060CB0"/>
    <w:rsid w:val="000612A6"/>
    <w:rsid w:val="00061662"/>
    <w:rsid w:val="000627B8"/>
    <w:rsid w:val="00063115"/>
    <w:rsid w:val="000643DA"/>
    <w:rsid w:val="000658E5"/>
    <w:rsid w:val="00066439"/>
    <w:rsid w:val="00067663"/>
    <w:rsid w:val="00067CE5"/>
    <w:rsid w:val="00067E30"/>
    <w:rsid w:val="00067FF8"/>
    <w:rsid w:val="000703C4"/>
    <w:rsid w:val="00071BE0"/>
    <w:rsid w:val="0007361F"/>
    <w:rsid w:val="00074483"/>
    <w:rsid w:val="00074B8A"/>
    <w:rsid w:val="00074F6D"/>
    <w:rsid w:val="00075871"/>
    <w:rsid w:val="00075BB5"/>
    <w:rsid w:val="00075BE7"/>
    <w:rsid w:val="00075FE5"/>
    <w:rsid w:val="000767E6"/>
    <w:rsid w:val="00076AA5"/>
    <w:rsid w:val="00077285"/>
    <w:rsid w:val="000811A1"/>
    <w:rsid w:val="00081C35"/>
    <w:rsid w:val="00081D5C"/>
    <w:rsid w:val="00082130"/>
    <w:rsid w:val="00082846"/>
    <w:rsid w:val="00083799"/>
    <w:rsid w:val="000838FD"/>
    <w:rsid w:val="00083A9A"/>
    <w:rsid w:val="00083C5D"/>
    <w:rsid w:val="00085078"/>
    <w:rsid w:val="000852A2"/>
    <w:rsid w:val="00085559"/>
    <w:rsid w:val="00085835"/>
    <w:rsid w:val="00086431"/>
    <w:rsid w:val="00086505"/>
    <w:rsid w:val="00086728"/>
    <w:rsid w:val="00087113"/>
    <w:rsid w:val="0008712D"/>
    <w:rsid w:val="000875AA"/>
    <w:rsid w:val="00090CB1"/>
    <w:rsid w:val="0009207C"/>
    <w:rsid w:val="000922B7"/>
    <w:rsid w:val="0009253D"/>
    <w:rsid w:val="00093486"/>
    <w:rsid w:val="0009363C"/>
    <w:rsid w:val="0009377E"/>
    <w:rsid w:val="000939AE"/>
    <w:rsid w:val="000944DA"/>
    <w:rsid w:val="00094B6D"/>
    <w:rsid w:val="00094EE1"/>
    <w:rsid w:val="000957C4"/>
    <w:rsid w:val="00096B3E"/>
    <w:rsid w:val="00096D52"/>
    <w:rsid w:val="000976A8"/>
    <w:rsid w:val="00097C1A"/>
    <w:rsid w:val="00097CD7"/>
    <w:rsid w:val="000A0B61"/>
    <w:rsid w:val="000A0E0A"/>
    <w:rsid w:val="000A13EE"/>
    <w:rsid w:val="000A3AC9"/>
    <w:rsid w:val="000A4A9E"/>
    <w:rsid w:val="000A53FF"/>
    <w:rsid w:val="000A65EE"/>
    <w:rsid w:val="000A67E4"/>
    <w:rsid w:val="000A6A14"/>
    <w:rsid w:val="000B081E"/>
    <w:rsid w:val="000B0E29"/>
    <w:rsid w:val="000B10C3"/>
    <w:rsid w:val="000B1531"/>
    <w:rsid w:val="000B1720"/>
    <w:rsid w:val="000B1DF4"/>
    <w:rsid w:val="000B2371"/>
    <w:rsid w:val="000B3130"/>
    <w:rsid w:val="000B452C"/>
    <w:rsid w:val="000B466A"/>
    <w:rsid w:val="000B492E"/>
    <w:rsid w:val="000B5EB4"/>
    <w:rsid w:val="000B5F03"/>
    <w:rsid w:val="000B6BC0"/>
    <w:rsid w:val="000B6D9C"/>
    <w:rsid w:val="000B78F4"/>
    <w:rsid w:val="000C0CA9"/>
    <w:rsid w:val="000C1805"/>
    <w:rsid w:val="000C1A26"/>
    <w:rsid w:val="000C219B"/>
    <w:rsid w:val="000C249E"/>
    <w:rsid w:val="000C24AC"/>
    <w:rsid w:val="000C30E0"/>
    <w:rsid w:val="000C5490"/>
    <w:rsid w:val="000C6BFE"/>
    <w:rsid w:val="000C6DD8"/>
    <w:rsid w:val="000C7173"/>
    <w:rsid w:val="000C7210"/>
    <w:rsid w:val="000C77C2"/>
    <w:rsid w:val="000C77FE"/>
    <w:rsid w:val="000D0A66"/>
    <w:rsid w:val="000D0DA2"/>
    <w:rsid w:val="000D201B"/>
    <w:rsid w:val="000D23DF"/>
    <w:rsid w:val="000D27B2"/>
    <w:rsid w:val="000D2820"/>
    <w:rsid w:val="000D2B6C"/>
    <w:rsid w:val="000D3017"/>
    <w:rsid w:val="000D3142"/>
    <w:rsid w:val="000D384A"/>
    <w:rsid w:val="000D3855"/>
    <w:rsid w:val="000D3CB2"/>
    <w:rsid w:val="000D4A14"/>
    <w:rsid w:val="000D4B3F"/>
    <w:rsid w:val="000D4B51"/>
    <w:rsid w:val="000D5644"/>
    <w:rsid w:val="000D61FD"/>
    <w:rsid w:val="000D62B0"/>
    <w:rsid w:val="000D64D9"/>
    <w:rsid w:val="000D6773"/>
    <w:rsid w:val="000D6C4F"/>
    <w:rsid w:val="000D6FC3"/>
    <w:rsid w:val="000D7B84"/>
    <w:rsid w:val="000D7C03"/>
    <w:rsid w:val="000E00C8"/>
    <w:rsid w:val="000E00EC"/>
    <w:rsid w:val="000E0781"/>
    <w:rsid w:val="000E0CB7"/>
    <w:rsid w:val="000E2AF5"/>
    <w:rsid w:val="000E32F7"/>
    <w:rsid w:val="000E3C23"/>
    <w:rsid w:val="000E3CB4"/>
    <w:rsid w:val="000E3FDF"/>
    <w:rsid w:val="000E7712"/>
    <w:rsid w:val="000E79CB"/>
    <w:rsid w:val="000E7DD2"/>
    <w:rsid w:val="000E7DEB"/>
    <w:rsid w:val="000F007B"/>
    <w:rsid w:val="000F029B"/>
    <w:rsid w:val="000F0570"/>
    <w:rsid w:val="000F0814"/>
    <w:rsid w:val="000F1A22"/>
    <w:rsid w:val="000F23EE"/>
    <w:rsid w:val="000F4477"/>
    <w:rsid w:val="000F4ECE"/>
    <w:rsid w:val="000F4F3E"/>
    <w:rsid w:val="000F52DA"/>
    <w:rsid w:val="000F6003"/>
    <w:rsid w:val="000F7469"/>
    <w:rsid w:val="00100939"/>
    <w:rsid w:val="0010246C"/>
    <w:rsid w:val="00102F5F"/>
    <w:rsid w:val="00103501"/>
    <w:rsid w:val="0010383D"/>
    <w:rsid w:val="00104643"/>
    <w:rsid w:val="001054CD"/>
    <w:rsid w:val="0010599C"/>
    <w:rsid w:val="00105D61"/>
    <w:rsid w:val="001063BC"/>
    <w:rsid w:val="00106FDF"/>
    <w:rsid w:val="00107072"/>
    <w:rsid w:val="0010779E"/>
    <w:rsid w:val="00107E40"/>
    <w:rsid w:val="00107FCB"/>
    <w:rsid w:val="00110A98"/>
    <w:rsid w:val="00110FA2"/>
    <w:rsid w:val="0011118C"/>
    <w:rsid w:val="00111BD0"/>
    <w:rsid w:val="00111C7A"/>
    <w:rsid w:val="00111FCC"/>
    <w:rsid w:val="001126FE"/>
    <w:rsid w:val="00112E54"/>
    <w:rsid w:val="00113DD7"/>
    <w:rsid w:val="00113EB4"/>
    <w:rsid w:val="001146F7"/>
    <w:rsid w:val="0011525E"/>
    <w:rsid w:val="00115EC4"/>
    <w:rsid w:val="00116092"/>
    <w:rsid w:val="00116120"/>
    <w:rsid w:val="001174A8"/>
    <w:rsid w:val="0011762E"/>
    <w:rsid w:val="00120029"/>
    <w:rsid w:val="0012056E"/>
    <w:rsid w:val="00120644"/>
    <w:rsid w:val="001210B5"/>
    <w:rsid w:val="00121BA4"/>
    <w:rsid w:val="001220AD"/>
    <w:rsid w:val="00122ABB"/>
    <w:rsid w:val="00122AEF"/>
    <w:rsid w:val="0012405D"/>
    <w:rsid w:val="00124342"/>
    <w:rsid w:val="00124AEE"/>
    <w:rsid w:val="001254B6"/>
    <w:rsid w:val="00125BEF"/>
    <w:rsid w:val="00126338"/>
    <w:rsid w:val="0012666B"/>
    <w:rsid w:val="00130874"/>
    <w:rsid w:val="00130BE1"/>
    <w:rsid w:val="0013107F"/>
    <w:rsid w:val="00131254"/>
    <w:rsid w:val="00133C84"/>
    <w:rsid w:val="00133E80"/>
    <w:rsid w:val="00134BE2"/>
    <w:rsid w:val="001355F3"/>
    <w:rsid w:val="00136072"/>
    <w:rsid w:val="001360F7"/>
    <w:rsid w:val="00136239"/>
    <w:rsid w:val="001362E7"/>
    <w:rsid w:val="00136B7C"/>
    <w:rsid w:val="00136EE7"/>
    <w:rsid w:val="00142502"/>
    <w:rsid w:val="00143807"/>
    <w:rsid w:val="001438B2"/>
    <w:rsid w:val="00144676"/>
    <w:rsid w:val="001449E6"/>
    <w:rsid w:val="00144C2D"/>
    <w:rsid w:val="00145282"/>
    <w:rsid w:val="001454C2"/>
    <w:rsid w:val="00146026"/>
    <w:rsid w:val="00147179"/>
    <w:rsid w:val="00147776"/>
    <w:rsid w:val="00147869"/>
    <w:rsid w:val="00147B2D"/>
    <w:rsid w:val="00147C60"/>
    <w:rsid w:val="00147E3D"/>
    <w:rsid w:val="00147F86"/>
    <w:rsid w:val="001508F9"/>
    <w:rsid w:val="0015090E"/>
    <w:rsid w:val="00150A63"/>
    <w:rsid w:val="00150C7C"/>
    <w:rsid w:val="00151B7A"/>
    <w:rsid w:val="00151D6A"/>
    <w:rsid w:val="00152004"/>
    <w:rsid w:val="0015250E"/>
    <w:rsid w:val="00152D0A"/>
    <w:rsid w:val="001535B2"/>
    <w:rsid w:val="00153AFB"/>
    <w:rsid w:val="00154562"/>
    <w:rsid w:val="0015479A"/>
    <w:rsid w:val="00154B05"/>
    <w:rsid w:val="00154BBB"/>
    <w:rsid w:val="00154F38"/>
    <w:rsid w:val="0015639E"/>
    <w:rsid w:val="001571E4"/>
    <w:rsid w:val="00157E64"/>
    <w:rsid w:val="001610B2"/>
    <w:rsid w:val="00161E19"/>
    <w:rsid w:val="001624E8"/>
    <w:rsid w:val="00162797"/>
    <w:rsid w:val="001629FE"/>
    <w:rsid w:val="00163509"/>
    <w:rsid w:val="001641C6"/>
    <w:rsid w:val="001646AF"/>
    <w:rsid w:val="00165EEF"/>
    <w:rsid w:val="00166259"/>
    <w:rsid w:val="001674FE"/>
    <w:rsid w:val="00167631"/>
    <w:rsid w:val="00167796"/>
    <w:rsid w:val="00167AD9"/>
    <w:rsid w:val="00167CB9"/>
    <w:rsid w:val="00167F34"/>
    <w:rsid w:val="0017028C"/>
    <w:rsid w:val="001708A5"/>
    <w:rsid w:val="00170A42"/>
    <w:rsid w:val="00171361"/>
    <w:rsid w:val="00172688"/>
    <w:rsid w:val="00172774"/>
    <w:rsid w:val="0017290D"/>
    <w:rsid w:val="00172BA7"/>
    <w:rsid w:val="001732E3"/>
    <w:rsid w:val="00173490"/>
    <w:rsid w:val="00173CE0"/>
    <w:rsid w:val="00173D7A"/>
    <w:rsid w:val="00173EF6"/>
    <w:rsid w:val="00174ABF"/>
    <w:rsid w:val="00174E58"/>
    <w:rsid w:val="0017546D"/>
    <w:rsid w:val="001761B2"/>
    <w:rsid w:val="0017696A"/>
    <w:rsid w:val="00176AEF"/>
    <w:rsid w:val="001802CB"/>
    <w:rsid w:val="0018054E"/>
    <w:rsid w:val="00181796"/>
    <w:rsid w:val="00183459"/>
    <w:rsid w:val="00183C0F"/>
    <w:rsid w:val="00183CF7"/>
    <w:rsid w:val="00185917"/>
    <w:rsid w:val="001877AD"/>
    <w:rsid w:val="00187C40"/>
    <w:rsid w:val="0019006C"/>
    <w:rsid w:val="00190242"/>
    <w:rsid w:val="001909D8"/>
    <w:rsid w:val="00190A11"/>
    <w:rsid w:val="00190F2D"/>
    <w:rsid w:val="0019168B"/>
    <w:rsid w:val="001918C8"/>
    <w:rsid w:val="00191984"/>
    <w:rsid w:val="0019278B"/>
    <w:rsid w:val="0019308C"/>
    <w:rsid w:val="00194EE2"/>
    <w:rsid w:val="00194F09"/>
    <w:rsid w:val="00196937"/>
    <w:rsid w:val="00196D08"/>
    <w:rsid w:val="001979D9"/>
    <w:rsid w:val="001A073A"/>
    <w:rsid w:val="001A1B0F"/>
    <w:rsid w:val="001A1EFE"/>
    <w:rsid w:val="001A2D40"/>
    <w:rsid w:val="001A365B"/>
    <w:rsid w:val="001A49B9"/>
    <w:rsid w:val="001A4E5A"/>
    <w:rsid w:val="001A50C0"/>
    <w:rsid w:val="001A5709"/>
    <w:rsid w:val="001A58CB"/>
    <w:rsid w:val="001A58F0"/>
    <w:rsid w:val="001A6055"/>
    <w:rsid w:val="001A60AF"/>
    <w:rsid w:val="001A680D"/>
    <w:rsid w:val="001A6CB1"/>
    <w:rsid w:val="001A71B5"/>
    <w:rsid w:val="001A7BBA"/>
    <w:rsid w:val="001B0AC7"/>
    <w:rsid w:val="001B1078"/>
    <w:rsid w:val="001B125B"/>
    <w:rsid w:val="001B1658"/>
    <w:rsid w:val="001B19E0"/>
    <w:rsid w:val="001B30A6"/>
    <w:rsid w:val="001B49A8"/>
    <w:rsid w:val="001B5005"/>
    <w:rsid w:val="001B6BFF"/>
    <w:rsid w:val="001B6CB1"/>
    <w:rsid w:val="001B7179"/>
    <w:rsid w:val="001B73FA"/>
    <w:rsid w:val="001B754C"/>
    <w:rsid w:val="001C0177"/>
    <w:rsid w:val="001C0AE2"/>
    <w:rsid w:val="001C2258"/>
    <w:rsid w:val="001C23B0"/>
    <w:rsid w:val="001C23BB"/>
    <w:rsid w:val="001C2EDE"/>
    <w:rsid w:val="001C3AD3"/>
    <w:rsid w:val="001C5532"/>
    <w:rsid w:val="001C62EB"/>
    <w:rsid w:val="001C653C"/>
    <w:rsid w:val="001C671F"/>
    <w:rsid w:val="001C7D4D"/>
    <w:rsid w:val="001D0D51"/>
    <w:rsid w:val="001D10B2"/>
    <w:rsid w:val="001D12D2"/>
    <w:rsid w:val="001D141C"/>
    <w:rsid w:val="001D1517"/>
    <w:rsid w:val="001D1602"/>
    <w:rsid w:val="001D1BF3"/>
    <w:rsid w:val="001D263F"/>
    <w:rsid w:val="001D2C52"/>
    <w:rsid w:val="001D2DAB"/>
    <w:rsid w:val="001D2F83"/>
    <w:rsid w:val="001D4DED"/>
    <w:rsid w:val="001D58CB"/>
    <w:rsid w:val="001D5C14"/>
    <w:rsid w:val="001D5E13"/>
    <w:rsid w:val="001D68A0"/>
    <w:rsid w:val="001D70D1"/>
    <w:rsid w:val="001D7EA3"/>
    <w:rsid w:val="001E0446"/>
    <w:rsid w:val="001E0496"/>
    <w:rsid w:val="001E14CE"/>
    <w:rsid w:val="001E1819"/>
    <w:rsid w:val="001E2427"/>
    <w:rsid w:val="001E36EC"/>
    <w:rsid w:val="001E39B3"/>
    <w:rsid w:val="001E3A30"/>
    <w:rsid w:val="001E3E41"/>
    <w:rsid w:val="001E3FC2"/>
    <w:rsid w:val="001E4DA0"/>
    <w:rsid w:val="001E55E6"/>
    <w:rsid w:val="001E62BE"/>
    <w:rsid w:val="001E7384"/>
    <w:rsid w:val="001E7A25"/>
    <w:rsid w:val="001F032C"/>
    <w:rsid w:val="001F033E"/>
    <w:rsid w:val="001F054B"/>
    <w:rsid w:val="001F080A"/>
    <w:rsid w:val="001F0BFD"/>
    <w:rsid w:val="001F0DE1"/>
    <w:rsid w:val="001F0EBC"/>
    <w:rsid w:val="001F11C0"/>
    <w:rsid w:val="001F16B0"/>
    <w:rsid w:val="001F262E"/>
    <w:rsid w:val="001F2B87"/>
    <w:rsid w:val="001F2F13"/>
    <w:rsid w:val="001F3137"/>
    <w:rsid w:val="001F331F"/>
    <w:rsid w:val="001F3C39"/>
    <w:rsid w:val="001F411B"/>
    <w:rsid w:val="001F4284"/>
    <w:rsid w:val="001F5A35"/>
    <w:rsid w:val="001F5EE6"/>
    <w:rsid w:val="001F6CAE"/>
    <w:rsid w:val="001F72B7"/>
    <w:rsid w:val="001F742F"/>
    <w:rsid w:val="001F7B35"/>
    <w:rsid w:val="00200482"/>
    <w:rsid w:val="00200706"/>
    <w:rsid w:val="002019FD"/>
    <w:rsid w:val="00201B50"/>
    <w:rsid w:val="00201D49"/>
    <w:rsid w:val="00202A4C"/>
    <w:rsid w:val="00203842"/>
    <w:rsid w:val="002038B4"/>
    <w:rsid w:val="00204574"/>
    <w:rsid w:val="0020527B"/>
    <w:rsid w:val="002054C3"/>
    <w:rsid w:val="00206A33"/>
    <w:rsid w:val="00206CB3"/>
    <w:rsid w:val="00206F13"/>
    <w:rsid w:val="00207DCD"/>
    <w:rsid w:val="00210D82"/>
    <w:rsid w:val="002116E4"/>
    <w:rsid w:val="002126AF"/>
    <w:rsid w:val="00213E37"/>
    <w:rsid w:val="00214808"/>
    <w:rsid w:val="00214A1A"/>
    <w:rsid w:val="00214BCD"/>
    <w:rsid w:val="00214C5B"/>
    <w:rsid w:val="00215B29"/>
    <w:rsid w:val="002163CA"/>
    <w:rsid w:val="00216A2A"/>
    <w:rsid w:val="00220872"/>
    <w:rsid w:val="002208F3"/>
    <w:rsid w:val="00220BE5"/>
    <w:rsid w:val="0022169F"/>
    <w:rsid w:val="00221AD4"/>
    <w:rsid w:val="0022540F"/>
    <w:rsid w:val="00225C97"/>
    <w:rsid w:val="00226676"/>
    <w:rsid w:val="00226C6F"/>
    <w:rsid w:val="00226F96"/>
    <w:rsid w:val="00227320"/>
    <w:rsid w:val="002275F1"/>
    <w:rsid w:val="00227E9D"/>
    <w:rsid w:val="002304D8"/>
    <w:rsid w:val="00230E83"/>
    <w:rsid w:val="00231AC5"/>
    <w:rsid w:val="00232D0B"/>
    <w:rsid w:val="00233F70"/>
    <w:rsid w:val="00233F73"/>
    <w:rsid w:val="00234173"/>
    <w:rsid w:val="00235022"/>
    <w:rsid w:val="00236B8E"/>
    <w:rsid w:val="00236DD6"/>
    <w:rsid w:val="00236FBC"/>
    <w:rsid w:val="0023738C"/>
    <w:rsid w:val="00240728"/>
    <w:rsid w:val="00240B76"/>
    <w:rsid w:val="00240E39"/>
    <w:rsid w:val="0024149F"/>
    <w:rsid w:val="002418A4"/>
    <w:rsid w:val="002418D2"/>
    <w:rsid w:val="00243660"/>
    <w:rsid w:val="002438D0"/>
    <w:rsid w:val="00244661"/>
    <w:rsid w:val="00245446"/>
    <w:rsid w:val="00245A28"/>
    <w:rsid w:val="00245D62"/>
    <w:rsid w:val="002464A7"/>
    <w:rsid w:val="00247061"/>
    <w:rsid w:val="0025050F"/>
    <w:rsid w:val="00250920"/>
    <w:rsid w:val="00250C65"/>
    <w:rsid w:val="002521F0"/>
    <w:rsid w:val="00252C9D"/>
    <w:rsid w:val="0025364C"/>
    <w:rsid w:val="00254215"/>
    <w:rsid w:val="002543D1"/>
    <w:rsid w:val="002545D1"/>
    <w:rsid w:val="002548EB"/>
    <w:rsid w:val="00254DFB"/>
    <w:rsid w:val="00255809"/>
    <w:rsid w:val="00256121"/>
    <w:rsid w:val="00256CE9"/>
    <w:rsid w:val="002571CA"/>
    <w:rsid w:val="002573A6"/>
    <w:rsid w:val="0025781E"/>
    <w:rsid w:val="00257A91"/>
    <w:rsid w:val="00257AFF"/>
    <w:rsid w:val="00257DF3"/>
    <w:rsid w:val="00260239"/>
    <w:rsid w:val="00260502"/>
    <w:rsid w:val="0026103C"/>
    <w:rsid w:val="002613DA"/>
    <w:rsid w:val="00261A28"/>
    <w:rsid w:val="00261BCA"/>
    <w:rsid w:val="002629ED"/>
    <w:rsid w:val="00263D7C"/>
    <w:rsid w:val="00263DAE"/>
    <w:rsid w:val="002642EC"/>
    <w:rsid w:val="00264F76"/>
    <w:rsid w:val="002656C0"/>
    <w:rsid w:val="0026587B"/>
    <w:rsid w:val="002665CD"/>
    <w:rsid w:val="00266E6F"/>
    <w:rsid w:val="00266F45"/>
    <w:rsid w:val="002672CB"/>
    <w:rsid w:val="00267371"/>
    <w:rsid w:val="00267D3A"/>
    <w:rsid w:val="002701EB"/>
    <w:rsid w:val="00270240"/>
    <w:rsid w:val="00270376"/>
    <w:rsid w:val="002704AE"/>
    <w:rsid w:val="00270EC1"/>
    <w:rsid w:val="00272085"/>
    <w:rsid w:val="002723E5"/>
    <w:rsid w:val="00273A27"/>
    <w:rsid w:val="00273C6D"/>
    <w:rsid w:val="0027528A"/>
    <w:rsid w:val="002752EF"/>
    <w:rsid w:val="002752FD"/>
    <w:rsid w:val="0027719C"/>
    <w:rsid w:val="00277480"/>
    <w:rsid w:val="00280D79"/>
    <w:rsid w:val="0028102D"/>
    <w:rsid w:val="00281C89"/>
    <w:rsid w:val="0028279E"/>
    <w:rsid w:val="00282EDA"/>
    <w:rsid w:val="002839F5"/>
    <w:rsid w:val="00283BFF"/>
    <w:rsid w:val="00283C20"/>
    <w:rsid w:val="00283D6C"/>
    <w:rsid w:val="002849BC"/>
    <w:rsid w:val="00284E8B"/>
    <w:rsid w:val="002855AB"/>
    <w:rsid w:val="00285969"/>
    <w:rsid w:val="00286605"/>
    <w:rsid w:val="00286A23"/>
    <w:rsid w:val="00286FC7"/>
    <w:rsid w:val="0028745C"/>
    <w:rsid w:val="002878F0"/>
    <w:rsid w:val="00287EAB"/>
    <w:rsid w:val="00287F4A"/>
    <w:rsid w:val="0029150D"/>
    <w:rsid w:val="0029156B"/>
    <w:rsid w:val="0029257D"/>
    <w:rsid w:val="00292BE2"/>
    <w:rsid w:val="00292C70"/>
    <w:rsid w:val="00293110"/>
    <w:rsid w:val="0029451C"/>
    <w:rsid w:val="002950C6"/>
    <w:rsid w:val="00295CD9"/>
    <w:rsid w:val="00296360"/>
    <w:rsid w:val="0029678B"/>
    <w:rsid w:val="002969C5"/>
    <w:rsid w:val="00296C42"/>
    <w:rsid w:val="0029768F"/>
    <w:rsid w:val="002A0098"/>
    <w:rsid w:val="002A0F5A"/>
    <w:rsid w:val="002A1F37"/>
    <w:rsid w:val="002A282E"/>
    <w:rsid w:val="002A3044"/>
    <w:rsid w:val="002A32E1"/>
    <w:rsid w:val="002A46C7"/>
    <w:rsid w:val="002A4791"/>
    <w:rsid w:val="002A52CE"/>
    <w:rsid w:val="002A6973"/>
    <w:rsid w:val="002A69C3"/>
    <w:rsid w:val="002A7833"/>
    <w:rsid w:val="002A7A2C"/>
    <w:rsid w:val="002B113A"/>
    <w:rsid w:val="002B158B"/>
    <w:rsid w:val="002B1A1F"/>
    <w:rsid w:val="002B1CB0"/>
    <w:rsid w:val="002B2DEE"/>
    <w:rsid w:val="002B45D1"/>
    <w:rsid w:val="002B4916"/>
    <w:rsid w:val="002B4BF7"/>
    <w:rsid w:val="002B586D"/>
    <w:rsid w:val="002B5D5A"/>
    <w:rsid w:val="002B6EF5"/>
    <w:rsid w:val="002B7085"/>
    <w:rsid w:val="002B711B"/>
    <w:rsid w:val="002B7FA6"/>
    <w:rsid w:val="002C16A5"/>
    <w:rsid w:val="002C1A52"/>
    <w:rsid w:val="002C220F"/>
    <w:rsid w:val="002C232F"/>
    <w:rsid w:val="002C260D"/>
    <w:rsid w:val="002C3388"/>
    <w:rsid w:val="002C3D1B"/>
    <w:rsid w:val="002C4088"/>
    <w:rsid w:val="002C413C"/>
    <w:rsid w:val="002C4203"/>
    <w:rsid w:val="002C5661"/>
    <w:rsid w:val="002C6170"/>
    <w:rsid w:val="002C6C75"/>
    <w:rsid w:val="002C73F5"/>
    <w:rsid w:val="002C7FF6"/>
    <w:rsid w:val="002D03C3"/>
    <w:rsid w:val="002D048B"/>
    <w:rsid w:val="002D06CF"/>
    <w:rsid w:val="002D0DCB"/>
    <w:rsid w:val="002D1140"/>
    <w:rsid w:val="002D15CF"/>
    <w:rsid w:val="002D296B"/>
    <w:rsid w:val="002D2A12"/>
    <w:rsid w:val="002D2A1F"/>
    <w:rsid w:val="002D5108"/>
    <w:rsid w:val="002D51EF"/>
    <w:rsid w:val="002D532B"/>
    <w:rsid w:val="002D5682"/>
    <w:rsid w:val="002D5B87"/>
    <w:rsid w:val="002D6215"/>
    <w:rsid w:val="002D644B"/>
    <w:rsid w:val="002D64AE"/>
    <w:rsid w:val="002D6772"/>
    <w:rsid w:val="002D693D"/>
    <w:rsid w:val="002D7B52"/>
    <w:rsid w:val="002D7F5F"/>
    <w:rsid w:val="002E003B"/>
    <w:rsid w:val="002E01F4"/>
    <w:rsid w:val="002E0E09"/>
    <w:rsid w:val="002E148B"/>
    <w:rsid w:val="002E1877"/>
    <w:rsid w:val="002E1FA6"/>
    <w:rsid w:val="002E26DD"/>
    <w:rsid w:val="002E29D2"/>
    <w:rsid w:val="002E2EBD"/>
    <w:rsid w:val="002E3FEF"/>
    <w:rsid w:val="002E487D"/>
    <w:rsid w:val="002E5B57"/>
    <w:rsid w:val="002E6922"/>
    <w:rsid w:val="002E6C12"/>
    <w:rsid w:val="002E6C54"/>
    <w:rsid w:val="002E71A7"/>
    <w:rsid w:val="002E76CE"/>
    <w:rsid w:val="002E7CD9"/>
    <w:rsid w:val="002E7CE2"/>
    <w:rsid w:val="002F1FE1"/>
    <w:rsid w:val="002F4097"/>
    <w:rsid w:val="002F47A3"/>
    <w:rsid w:val="002F4AB7"/>
    <w:rsid w:val="002F4BF0"/>
    <w:rsid w:val="002F5317"/>
    <w:rsid w:val="002F57F7"/>
    <w:rsid w:val="002F675B"/>
    <w:rsid w:val="002F6DF0"/>
    <w:rsid w:val="002F7080"/>
    <w:rsid w:val="002F768F"/>
    <w:rsid w:val="002F7835"/>
    <w:rsid w:val="003000F0"/>
    <w:rsid w:val="00300939"/>
    <w:rsid w:val="0030118E"/>
    <w:rsid w:val="0030139C"/>
    <w:rsid w:val="00301582"/>
    <w:rsid w:val="003017E7"/>
    <w:rsid w:val="003020E1"/>
    <w:rsid w:val="003028E7"/>
    <w:rsid w:val="00302D17"/>
    <w:rsid w:val="0030329A"/>
    <w:rsid w:val="003032CB"/>
    <w:rsid w:val="0030340C"/>
    <w:rsid w:val="00303433"/>
    <w:rsid w:val="00303CC4"/>
    <w:rsid w:val="00304146"/>
    <w:rsid w:val="0030443A"/>
    <w:rsid w:val="00305556"/>
    <w:rsid w:val="00305C6E"/>
    <w:rsid w:val="00306156"/>
    <w:rsid w:val="003069A5"/>
    <w:rsid w:val="00306F03"/>
    <w:rsid w:val="003070AF"/>
    <w:rsid w:val="003070C9"/>
    <w:rsid w:val="003075F5"/>
    <w:rsid w:val="00310BF6"/>
    <w:rsid w:val="00311E02"/>
    <w:rsid w:val="003121E5"/>
    <w:rsid w:val="0031228E"/>
    <w:rsid w:val="003127E1"/>
    <w:rsid w:val="003129C5"/>
    <w:rsid w:val="00312F03"/>
    <w:rsid w:val="00313D8F"/>
    <w:rsid w:val="00313F8B"/>
    <w:rsid w:val="003141AA"/>
    <w:rsid w:val="00315160"/>
    <w:rsid w:val="003159BA"/>
    <w:rsid w:val="00315CEC"/>
    <w:rsid w:val="003165DD"/>
    <w:rsid w:val="00316F4D"/>
    <w:rsid w:val="00317193"/>
    <w:rsid w:val="00317353"/>
    <w:rsid w:val="003202FA"/>
    <w:rsid w:val="0032083D"/>
    <w:rsid w:val="0032159A"/>
    <w:rsid w:val="00321ED5"/>
    <w:rsid w:val="00322F7F"/>
    <w:rsid w:val="0032326B"/>
    <w:rsid w:val="0032356A"/>
    <w:rsid w:val="0032460F"/>
    <w:rsid w:val="003252F1"/>
    <w:rsid w:val="00325D5A"/>
    <w:rsid w:val="00325ED3"/>
    <w:rsid w:val="00326069"/>
    <w:rsid w:val="00326156"/>
    <w:rsid w:val="00327533"/>
    <w:rsid w:val="003307FB"/>
    <w:rsid w:val="0033268A"/>
    <w:rsid w:val="003336E4"/>
    <w:rsid w:val="00333AB7"/>
    <w:rsid w:val="00334FD6"/>
    <w:rsid w:val="003352A3"/>
    <w:rsid w:val="0033568D"/>
    <w:rsid w:val="00335E09"/>
    <w:rsid w:val="00336224"/>
    <w:rsid w:val="003365CD"/>
    <w:rsid w:val="00336EB8"/>
    <w:rsid w:val="003418CE"/>
    <w:rsid w:val="00341944"/>
    <w:rsid w:val="00342A87"/>
    <w:rsid w:val="00342ADD"/>
    <w:rsid w:val="003430B6"/>
    <w:rsid w:val="00343247"/>
    <w:rsid w:val="00343925"/>
    <w:rsid w:val="00343B88"/>
    <w:rsid w:val="00343BA9"/>
    <w:rsid w:val="00344D4D"/>
    <w:rsid w:val="0034543A"/>
    <w:rsid w:val="00346C36"/>
    <w:rsid w:val="003479E0"/>
    <w:rsid w:val="00347E05"/>
    <w:rsid w:val="00347FB8"/>
    <w:rsid w:val="00350276"/>
    <w:rsid w:val="0035118F"/>
    <w:rsid w:val="00351CFB"/>
    <w:rsid w:val="00354ADD"/>
    <w:rsid w:val="003550DE"/>
    <w:rsid w:val="003556AC"/>
    <w:rsid w:val="0035637D"/>
    <w:rsid w:val="0035674B"/>
    <w:rsid w:val="00356FA3"/>
    <w:rsid w:val="00357E8F"/>
    <w:rsid w:val="0036038E"/>
    <w:rsid w:val="00360AFA"/>
    <w:rsid w:val="00361EC7"/>
    <w:rsid w:val="0036271D"/>
    <w:rsid w:val="00362A5C"/>
    <w:rsid w:val="00362EC7"/>
    <w:rsid w:val="00363C82"/>
    <w:rsid w:val="0036402F"/>
    <w:rsid w:val="00364E2B"/>
    <w:rsid w:val="00365CA1"/>
    <w:rsid w:val="00366BF6"/>
    <w:rsid w:val="00366CFC"/>
    <w:rsid w:val="00371B73"/>
    <w:rsid w:val="00371C2B"/>
    <w:rsid w:val="00372238"/>
    <w:rsid w:val="00372814"/>
    <w:rsid w:val="0037488C"/>
    <w:rsid w:val="0037498D"/>
    <w:rsid w:val="00374FCC"/>
    <w:rsid w:val="00376266"/>
    <w:rsid w:val="00376321"/>
    <w:rsid w:val="00376ABF"/>
    <w:rsid w:val="00377211"/>
    <w:rsid w:val="0037774B"/>
    <w:rsid w:val="0038049F"/>
    <w:rsid w:val="0038108D"/>
    <w:rsid w:val="003810F5"/>
    <w:rsid w:val="003811C0"/>
    <w:rsid w:val="0038186C"/>
    <w:rsid w:val="00381AC8"/>
    <w:rsid w:val="00381EFE"/>
    <w:rsid w:val="003824D5"/>
    <w:rsid w:val="00382690"/>
    <w:rsid w:val="003827DE"/>
    <w:rsid w:val="00382B77"/>
    <w:rsid w:val="00382E79"/>
    <w:rsid w:val="0038424B"/>
    <w:rsid w:val="00384269"/>
    <w:rsid w:val="00384B9E"/>
    <w:rsid w:val="00386470"/>
    <w:rsid w:val="003866C8"/>
    <w:rsid w:val="0038778D"/>
    <w:rsid w:val="00387F74"/>
    <w:rsid w:val="00387F7F"/>
    <w:rsid w:val="00390C2D"/>
    <w:rsid w:val="00390C98"/>
    <w:rsid w:val="00391A18"/>
    <w:rsid w:val="003924A4"/>
    <w:rsid w:val="00392CF7"/>
    <w:rsid w:val="00393852"/>
    <w:rsid w:val="00394611"/>
    <w:rsid w:val="00394926"/>
    <w:rsid w:val="00394EDC"/>
    <w:rsid w:val="00395502"/>
    <w:rsid w:val="00395AD0"/>
    <w:rsid w:val="00396115"/>
    <w:rsid w:val="003970F2"/>
    <w:rsid w:val="00397341"/>
    <w:rsid w:val="00397789"/>
    <w:rsid w:val="003A07FA"/>
    <w:rsid w:val="003A0809"/>
    <w:rsid w:val="003A1283"/>
    <w:rsid w:val="003A1C58"/>
    <w:rsid w:val="003A2FD4"/>
    <w:rsid w:val="003A36C1"/>
    <w:rsid w:val="003A37A2"/>
    <w:rsid w:val="003A4173"/>
    <w:rsid w:val="003A44B9"/>
    <w:rsid w:val="003A4706"/>
    <w:rsid w:val="003A476C"/>
    <w:rsid w:val="003A484E"/>
    <w:rsid w:val="003A5095"/>
    <w:rsid w:val="003A6035"/>
    <w:rsid w:val="003A64F2"/>
    <w:rsid w:val="003A6954"/>
    <w:rsid w:val="003A73C1"/>
    <w:rsid w:val="003A7628"/>
    <w:rsid w:val="003A7B8F"/>
    <w:rsid w:val="003A7D2C"/>
    <w:rsid w:val="003B0623"/>
    <w:rsid w:val="003B13A0"/>
    <w:rsid w:val="003B1432"/>
    <w:rsid w:val="003B1CDC"/>
    <w:rsid w:val="003B2283"/>
    <w:rsid w:val="003B2363"/>
    <w:rsid w:val="003B2BFC"/>
    <w:rsid w:val="003B32F8"/>
    <w:rsid w:val="003B3E23"/>
    <w:rsid w:val="003B43ED"/>
    <w:rsid w:val="003B4794"/>
    <w:rsid w:val="003B4F80"/>
    <w:rsid w:val="003B5829"/>
    <w:rsid w:val="003B5979"/>
    <w:rsid w:val="003B5FF2"/>
    <w:rsid w:val="003B6310"/>
    <w:rsid w:val="003B7E3B"/>
    <w:rsid w:val="003B7E73"/>
    <w:rsid w:val="003B7F35"/>
    <w:rsid w:val="003C079D"/>
    <w:rsid w:val="003C1D55"/>
    <w:rsid w:val="003C2829"/>
    <w:rsid w:val="003C363D"/>
    <w:rsid w:val="003C3D3F"/>
    <w:rsid w:val="003C3FF1"/>
    <w:rsid w:val="003C43D1"/>
    <w:rsid w:val="003C4953"/>
    <w:rsid w:val="003C4E25"/>
    <w:rsid w:val="003C5421"/>
    <w:rsid w:val="003C57A2"/>
    <w:rsid w:val="003C5B7F"/>
    <w:rsid w:val="003C5CA3"/>
    <w:rsid w:val="003C6160"/>
    <w:rsid w:val="003C76D9"/>
    <w:rsid w:val="003C792E"/>
    <w:rsid w:val="003D075B"/>
    <w:rsid w:val="003D0A01"/>
    <w:rsid w:val="003D1B8F"/>
    <w:rsid w:val="003D4359"/>
    <w:rsid w:val="003D4CD0"/>
    <w:rsid w:val="003D607C"/>
    <w:rsid w:val="003D60D2"/>
    <w:rsid w:val="003D60DD"/>
    <w:rsid w:val="003D6D77"/>
    <w:rsid w:val="003D76D6"/>
    <w:rsid w:val="003D799F"/>
    <w:rsid w:val="003D7E67"/>
    <w:rsid w:val="003E021C"/>
    <w:rsid w:val="003E0F99"/>
    <w:rsid w:val="003E13DF"/>
    <w:rsid w:val="003E19DD"/>
    <w:rsid w:val="003E1D6B"/>
    <w:rsid w:val="003E1D6C"/>
    <w:rsid w:val="003E4F0A"/>
    <w:rsid w:val="003E5DB2"/>
    <w:rsid w:val="003E637C"/>
    <w:rsid w:val="003E657B"/>
    <w:rsid w:val="003E70BD"/>
    <w:rsid w:val="003E7750"/>
    <w:rsid w:val="003E7E5B"/>
    <w:rsid w:val="003E7FE8"/>
    <w:rsid w:val="003F1AFC"/>
    <w:rsid w:val="003F28AB"/>
    <w:rsid w:val="003F290B"/>
    <w:rsid w:val="003F2B65"/>
    <w:rsid w:val="003F49B5"/>
    <w:rsid w:val="003F54BE"/>
    <w:rsid w:val="003F5CBC"/>
    <w:rsid w:val="003F61C3"/>
    <w:rsid w:val="003F6346"/>
    <w:rsid w:val="003F6680"/>
    <w:rsid w:val="003F672B"/>
    <w:rsid w:val="004007FE"/>
    <w:rsid w:val="00400811"/>
    <w:rsid w:val="0040107F"/>
    <w:rsid w:val="00401567"/>
    <w:rsid w:val="00401DA2"/>
    <w:rsid w:val="00401DD7"/>
    <w:rsid w:val="004027A0"/>
    <w:rsid w:val="004032ED"/>
    <w:rsid w:val="004036F8"/>
    <w:rsid w:val="004039AC"/>
    <w:rsid w:val="00404570"/>
    <w:rsid w:val="004048BF"/>
    <w:rsid w:val="004054A9"/>
    <w:rsid w:val="00405948"/>
    <w:rsid w:val="004060E1"/>
    <w:rsid w:val="004062A2"/>
    <w:rsid w:val="0041013B"/>
    <w:rsid w:val="00410EAE"/>
    <w:rsid w:val="00412306"/>
    <w:rsid w:val="00412AE4"/>
    <w:rsid w:val="004131E8"/>
    <w:rsid w:val="00413841"/>
    <w:rsid w:val="004140CF"/>
    <w:rsid w:val="00414254"/>
    <w:rsid w:val="0041434A"/>
    <w:rsid w:val="004143BD"/>
    <w:rsid w:val="00414F06"/>
    <w:rsid w:val="0041515F"/>
    <w:rsid w:val="00415D96"/>
    <w:rsid w:val="00416056"/>
    <w:rsid w:val="00420436"/>
    <w:rsid w:val="00421000"/>
    <w:rsid w:val="00421315"/>
    <w:rsid w:val="004219B4"/>
    <w:rsid w:val="00422946"/>
    <w:rsid w:val="00423133"/>
    <w:rsid w:val="00423670"/>
    <w:rsid w:val="0042536F"/>
    <w:rsid w:val="0042576E"/>
    <w:rsid w:val="00425C39"/>
    <w:rsid w:val="00425C63"/>
    <w:rsid w:val="004261DD"/>
    <w:rsid w:val="0042645E"/>
    <w:rsid w:val="0042647A"/>
    <w:rsid w:val="00426C3B"/>
    <w:rsid w:val="00427227"/>
    <w:rsid w:val="0042729E"/>
    <w:rsid w:val="0042788B"/>
    <w:rsid w:val="00427C1F"/>
    <w:rsid w:val="004306FC"/>
    <w:rsid w:val="00431683"/>
    <w:rsid w:val="00431836"/>
    <w:rsid w:val="00431A33"/>
    <w:rsid w:val="00431BA0"/>
    <w:rsid w:val="004322B9"/>
    <w:rsid w:val="00432C63"/>
    <w:rsid w:val="00432CFE"/>
    <w:rsid w:val="004333F5"/>
    <w:rsid w:val="004336AB"/>
    <w:rsid w:val="00433E37"/>
    <w:rsid w:val="00434141"/>
    <w:rsid w:val="0043435C"/>
    <w:rsid w:val="0043467E"/>
    <w:rsid w:val="00436077"/>
    <w:rsid w:val="004360E5"/>
    <w:rsid w:val="00436142"/>
    <w:rsid w:val="004361C6"/>
    <w:rsid w:val="004361D9"/>
    <w:rsid w:val="00436223"/>
    <w:rsid w:val="004365BE"/>
    <w:rsid w:val="00436AE9"/>
    <w:rsid w:val="00436DEE"/>
    <w:rsid w:val="00437751"/>
    <w:rsid w:val="00437EDF"/>
    <w:rsid w:val="0044089E"/>
    <w:rsid w:val="004408C0"/>
    <w:rsid w:val="004409D6"/>
    <w:rsid w:val="00440A7C"/>
    <w:rsid w:val="00440CF0"/>
    <w:rsid w:val="004422B7"/>
    <w:rsid w:val="00442536"/>
    <w:rsid w:val="00442AC7"/>
    <w:rsid w:val="00443464"/>
    <w:rsid w:val="00444691"/>
    <w:rsid w:val="00445368"/>
    <w:rsid w:val="004454C2"/>
    <w:rsid w:val="00445960"/>
    <w:rsid w:val="0044683C"/>
    <w:rsid w:val="004469F8"/>
    <w:rsid w:val="0044710C"/>
    <w:rsid w:val="00447572"/>
    <w:rsid w:val="004509B9"/>
    <w:rsid w:val="00450B2C"/>
    <w:rsid w:val="004513FC"/>
    <w:rsid w:val="00452991"/>
    <w:rsid w:val="00452C44"/>
    <w:rsid w:val="00453746"/>
    <w:rsid w:val="00456E9B"/>
    <w:rsid w:val="004578E7"/>
    <w:rsid w:val="0046066F"/>
    <w:rsid w:val="0046101C"/>
    <w:rsid w:val="00461373"/>
    <w:rsid w:val="0046277D"/>
    <w:rsid w:val="00462B12"/>
    <w:rsid w:val="0046361D"/>
    <w:rsid w:val="00463729"/>
    <w:rsid w:val="00463BD9"/>
    <w:rsid w:val="0046508D"/>
    <w:rsid w:val="004656D5"/>
    <w:rsid w:val="00465F69"/>
    <w:rsid w:val="00470C33"/>
    <w:rsid w:val="004710E6"/>
    <w:rsid w:val="0047170D"/>
    <w:rsid w:val="00471C76"/>
    <w:rsid w:val="00471E6E"/>
    <w:rsid w:val="00474AD5"/>
    <w:rsid w:val="00475389"/>
    <w:rsid w:val="00475F03"/>
    <w:rsid w:val="004760C0"/>
    <w:rsid w:val="0047717F"/>
    <w:rsid w:val="004773BA"/>
    <w:rsid w:val="004800EB"/>
    <w:rsid w:val="00480891"/>
    <w:rsid w:val="0048189F"/>
    <w:rsid w:val="0048192D"/>
    <w:rsid w:val="00481EB0"/>
    <w:rsid w:val="00481FA6"/>
    <w:rsid w:val="00482C5E"/>
    <w:rsid w:val="00483E5E"/>
    <w:rsid w:val="004854F1"/>
    <w:rsid w:val="00485F46"/>
    <w:rsid w:val="004862FF"/>
    <w:rsid w:val="00486306"/>
    <w:rsid w:val="00486CBF"/>
    <w:rsid w:val="00490380"/>
    <w:rsid w:val="00490900"/>
    <w:rsid w:val="004911F1"/>
    <w:rsid w:val="00491946"/>
    <w:rsid w:val="00491F3B"/>
    <w:rsid w:val="004921C2"/>
    <w:rsid w:val="004924D4"/>
    <w:rsid w:val="004924E5"/>
    <w:rsid w:val="00492A85"/>
    <w:rsid w:val="0049329C"/>
    <w:rsid w:val="00493CC2"/>
    <w:rsid w:val="004943A2"/>
    <w:rsid w:val="00495CC4"/>
    <w:rsid w:val="00495E74"/>
    <w:rsid w:val="00496162"/>
    <w:rsid w:val="0049636A"/>
    <w:rsid w:val="00496EEF"/>
    <w:rsid w:val="00496F25"/>
    <w:rsid w:val="00497AA1"/>
    <w:rsid w:val="004A00C5"/>
    <w:rsid w:val="004A0BDD"/>
    <w:rsid w:val="004A394B"/>
    <w:rsid w:val="004A3C8D"/>
    <w:rsid w:val="004A40A0"/>
    <w:rsid w:val="004A4619"/>
    <w:rsid w:val="004A525E"/>
    <w:rsid w:val="004A665D"/>
    <w:rsid w:val="004A6D4F"/>
    <w:rsid w:val="004A7437"/>
    <w:rsid w:val="004B0318"/>
    <w:rsid w:val="004B0827"/>
    <w:rsid w:val="004B1394"/>
    <w:rsid w:val="004B1899"/>
    <w:rsid w:val="004B34AC"/>
    <w:rsid w:val="004B37EA"/>
    <w:rsid w:val="004B53FC"/>
    <w:rsid w:val="004B5726"/>
    <w:rsid w:val="004B5FAC"/>
    <w:rsid w:val="004B6938"/>
    <w:rsid w:val="004B695B"/>
    <w:rsid w:val="004B69A2"/>
    <w:rsid w:val="004B6BD4"/>
    <w:rsid w:val="004B6CA6"/>
    <w:rsid w:val="004B7C09"/>
    <w:rsid w:val="004C00F0"/>
    <w:rsid w:val="004C0750"/>
    <w:rsid w:val="004C0969"/>
    <w:rsid w:val="004C0C7B"/>
    <w:rsid w:val="004C129B"/>
    <w:rsid w:val="004C12EB"/>
    <w:rsid w:val="004C1E44"/>
    <w:rsid w:val="004C219F"/>
    <w:rsid w:val="004C24FB"/>
    <w:rsid w:val="004C27DA"/>
    <w:rsid w:val="004C2B28"/>
    <w:rsid w:val="004C672E"/>
    <w:rsid w:val="004C6B9A"/>
    <w:rsid w:val="004C7184"/>
    <w:rsid w:val="004C7266"/>
    <w:rsid w:val="004C7AFC"/>
    <w:rsid w:val="004C7EDE"/>
    <w:rsid w:val="004C7F07"/>
    <w:rsid w:val="004D0721"/>
    <w:rsid w:val="004D0963"/>
    <w:rsid w:val="004D0B46"/>
    <w:rsid w:val="004D0DA4"/>
    <w:rsid w:val="004D0DB5"/>
    <w:rsid w:val="004D0EA7"/>
    <w:rsid w:val="004D14A8"/>
    <w:rsid w:val="004D151B"/>
    <w:rsid w:val="004D1CF3"/>
    <w:rsid w:val="004D2227"/>
    <w:rsid w:val="004D320E"/>
    <w:rsid w:val="004D3455"/>
    <w:rsid w:val="004D3D15"/>
    <w:rsid w:val="004D47E4"/>
    <w:rsid w:val="004D4B86"/>
    <w:rsid w:val="004D59E6"/>
    <w:rsid w:val="004D608C"/>
    <w:rsid w:val="004D6495"/>
    <w:rsid w:val="004D703C"/>
    <w:rsid w:val="004D7446"/>
    <w:rsid w:val="004D7C9E"/>
    <w:rsid w:val="004D7FEF"/>
    <w:rsid w:val="004E11BA"/>
    <w:rsid w:val="004E24A7"/>
    <w:rsid w:val="004E345D"/>
    <w:rsid w:val="004E3A4B"/>
    <w:rsid w:val="004E48F5"/>
    <w:rsid w:val="004E4CB9"/>
    <w:rsid w:val="004E4F7A"/>
    <w:rsid w:val="004E5366"/>
    <w:rsid w:val="004E53FB"/>
    <w:rsid w:val="004E54FF"/>
    <w:rsid w:val="004E747B"/>
    <w:rsid w:val="004E7E92"/>
    <w:rsid w:val="004E7F22"/>
    <w:rsid w:val="004F08C2"/>
    <w:rsid w:val="004F0997"/>
    <w:rsid w:val="004F0D95"/>
    <w:rsid w:val="004F3732"/>
    <w:rsid w:val="004F4A97"/>
    <w:rsid w:val="004F5316"/>
    <w:rsid w:val="004F5918"/>
    <w:rsid w:val="004F6220"/>
    <w:rsid w:val="004F6570"/>
    <w:rsid w:val="004F7C0A"/>
    <w:rsid w:val="004F7D2C"/>
    <w:rsid w:val="005002A5"/>
    <w:rsid w:val="005006CE"/>
    <w:rsid w:val="00500AD9"/>
    <w:rsid w:val="00501210"/>
    <w:rsid w:val="00503942"/>
    <w:rsid w:val="00503F01"/>
    <w:rsid w:val="0050420B"/>
    <w:rsid w:val="0050569D"/>
    <w:rsid w:val="005056D2"/>
    <w:rsid w:val="00505D57"/>
    <w:rsid w:val="0050619A"/>
    <w:rsid w:val="005061F3"/>
    <w:rsid w:val="005069AF"/>
    <w:rsid w:val="00506ACE"/>
    <w:rsid w:val="00506DD2"/>
    <w:rsid w:val="00506E7E"/>
    <w:rsid w:val="005075E6"/>
    <w:rsid w:val="005101CB"/>
    <w:rsid w:val="00510FF3"/>
    <w:rsid w:val="005117B8"/>
    <w:rsid w:val="00511B0E"/>
    <w:rsid w:val="00511E36"/>
    <w:rsid w:val="005123FC"/>
    <w:rsid w:val="00512ADF"/>
    <w:rsid w:val="00513070"/>
    <w:rsid w:val="00513174"/>
    <w:rsid w:val="00513689"/>
    <w:rsid w:val="00513AC6"/>
    <w:rsid w:val="00514088"/>
    <w:rsid w:val="00514658"/>
    <w:rsid w:val="00514869"/>
    <w:rsid w:val="00515492"/>
    <w:rsid w:val="00515BC4"/>
    <w:rsid w:val="00516701"/>
    <w:rsid w:val="00516CFE"/>
    <w:rsid w:val="00517021"/>
    <w:rsid w:val="00517A88"/>
    <w:rsid w:val="00520071"/>
    <w:rsid w:val="0052025C"/>
    <w:rsid w:val="00520BB6"/>
    <w:rsid w:val="00520FCB"/>
    <w:rsid w:val="005219CC"/>
    <w:rsid w:val="00521C7F"/>
    <w:rsid w:val="005225DA"/>
    <w:rsid w:val="005225E5"/>
    <w:rsid w:val="0052410D"/>
    <w:rsid w:val="005245D3"/>
    <w:rsid w:val="00524905"/>
    <w:rsid w:val="00524C67"/>
    <w:rsid w:val="0052549A"/>
    <w:rsid w:val="00526A87"/>
    <w:rsid w:val="00527487"/>
    <w:rsid w:val="005312F4"/>
    <w:rsid w:val="00531A0F"/>
    <w:rsid w:val="00532254"/>
    <w:rsid w:val="00532737"/>
    <w:rsid w:val="00532867"/>
    <w:rsid w:val="00532FB5"/>
    <w:rsid w:val="00533360"/>
    <w:rsid w:val="0053352A"/>
    <w:rsid w:val="0053376D"/>
    <w:rsid w:val="005354A7"/>
    <w:rsid w:val="00535E23"/>
    <w:rsid w:val="005371B8"/>
    <w:rsid w:val="00537FA4"/>
    <w:rsid w:val="0054052D"/>
    <w:rsid w:val="00540715"/>
    <w:rsid w:val="005424A3"/>
    <w:rsid w:val="00542716"/>
    <w:rsid w:val="005427B8"/>
    <w:rsid w:val="005428F2"/>
    <w:rsid w:val="005431CA"/>
    <w:rsid w:val="0054368C"/>
    <w:rsid w:val="00544179"/>
    <w:rsid w:val="00544B00"/>
    <w:rsid w:val="00545D9C"/>
    <w:rsid w:val="00546207"/>
    <w:rsid w:val="00547BA1"/>
    <w:rsid w:val="00547C5B"/>
    <w:rsid w:val="00547FD7"/>
    <w:rsid w:val="00550315"/>
    <w:rsid w:val="00551436"/>
    <w:rsid w:val="00551E7A"/>
    <w:rsid w:val="00552712"/>
    <w:rsid w:val="00552DD3"/>
    <w:rsid w:val="00553645"/>
    <w:rsid w:val="0055430D"/>
    <w:rsid w:val="0055432C"/>
    <w:rsid w:val="005550BF"/>
    <w:rsid w:val="0055540A"/>
    <w:rsid w:val="00555717"/>
    <w:rsid w:val="00557CC7"/>
    <w:rsid w:val="00560150"/>
    <w:rsid w:val="00560F91"/>
    <w:rsid w:val="0056287A"/>
    <w:rsid w:val="00562B53"/>
    <w:rsid w:val="005639B4"/>
    <w:rsid w:val="00563F5E"/>
    <w:rsid w:val="005645A5"/>
    <w:rsid w:val="00564BE8"/>
    <w:rsid w:val="00565011"/>
    <w:rsid w:val="00565B9C"/>
    <w:rsid w:val="00566211"/>
    <w:rsid w:val="00566F13"/>
    <w:rsid w:val="0056799A"/>
    <w:rsid w:val="00567DAB"/>
    <w:rsid w:val="00567F64"/>
    <w:rsid w:val="00570767"/>
    <w:rsid w:val="005718A9"/>
    <w:rsid w:val="00572006"/>
    <w:rsid w:val="00572523"/>
    <w:rsid w:val="00572AAB"/>
    <w:rsid w:val="00573518"/>
    <w:rsid w:val="00573ABB"/>
    <w:rsid w:val="005740FD"/>
    <w:rsid w:val="00574B5F"/>
    <w:rsid w:val="0057570E"/>
    <w:rsid w:val="005758D5"/>
    <w:rsid w:val="00575C14"/>
    <w:rsid w:val="005769C9"/>
    <w:rsid w:val="00576B08"/>
    <w:rsid w:val="00577AFD"/>
    <w:rsid w:val="00577E8A"/>
    <w:rsid w:val="00580319"/>
    <w:rsid w:val="00581EE2"/>
    <w:rsid w:val="005822C8"/>
    <w:rsid w:val="00582C91"/>
    <w:rsid w:val="0058449A"/>
    <w:rsid w:val="00584AD9"/>
    <w:rsid w:val="00586053"/>
    <w:rsid w:val="005908E2"/>
    <w:rsid w:val="00591CCF"/>
    <w:rsid w:val="005924D1"/>
    <w:rsid w:val="005928FD"/>
    <w:rsid w:val="005933CB"/>
    <w:rsid w:val="00594791"/>
    <w:rsid w:val="0059580F"/>
    <w:rsid w:val="00596137"/>
    <w:rsid w:val="005963C5"/>
    <w:rsid w:val="005963E7"/>
    <w:rsid w:val="0059655D"/>
    <w:rsid w:val="00597193"/>
    <w:rsid w:val="0059789D"/>
    <w:rsid w:val="005A03B7"/>
    <w:rsid w:val="005A06B6"/>
    <w:rsid w:val="005A1068"/>
    <w:rsid w:val="005A11D3"/>
    <w:rsid w:val="005A196C"/>
    <w:rsid w:val="005A1B25"/>
    <w:rsid w:val="005A1D42"/>
    <w:rsid w:val="005A282C"/>
    <w:rsid w:val="005A2C91"/>
    <w:rsid w:val="005A2CBC"/>
    <w:rsid w:val="005A3225"/>
    <w:rsid w:val="005A3B28"/>
    <w:rsid w:val="005A4562"/>
    <w:rsid w:val="005A5991"/>
    <w:rsid w:val="005A61E0"/>
    <w:rsid w:val="005A6457"/>
    <w:rsid w:val="005A6617"/>
    <w:rsid w:val="005A6CCB"/>
    <w:rsid w:val="005A7BA2"/>
    <w:rsid w:val="005A7E03"/>
    <w:rsid w:val="005B056A"/>
    <w:rsid w:val="005B057A"/>
    <w:rsid w:val="005B0EC1"/>
    <w:rsid w:val="005B0EC9"/>
    <w:rsid w:val="005B1BE4"/>
    <w:rsid w:val="005B382A"/>
    <w:rsid w:val="005B3ECE"/>
    <w:rsid w:val="005B49D0"/>
    <w:rsid w:val="005B4B14"/>
    <w:rsid w:val="005B501F"/>
    <w:rsid w:val="005B5DCF"/>
    <w:rsid w:val="005B612E"/>
    <w:rsid w:val="005C0110"/>
    <w:rsid w:val="005C113B"/>
    <w:rsid w:val="005C178C"/>
    <w:rsid w:val="005C1873"/>
    <w:rsid w:val="005C251D"/>
    <w:rsid w:val="005C2B1D"/>
    <w:rsid w:val="005C4D54"/>
    <w:rsid w:val="005C588B"/>
    <w:rsid w:val="005C5D49"/>
    <w:rsid w:val="005C5E76"/>
    <w:rsid w:val="005C6047"/>
    <w:rsid w:val="005C650B"/>
    <w:rsid w:val="005C70EE"/>
    <w:rsid w:val="005C7681"/>
    <w:rsid w:val="005C7A1A"/>
    <w:rsid w:val="005C7D13"/>
    <w:rsid w:val="005C7DDE"/>
    <w:rsid w:val="005D2B8C"/>
    <w:rsid w:val="005D34FF"/>
    <w:rsid w:val="005D3D93"/>
    <w:rsid w:val="005D3F77"/>
    <w:rsid w:val="005D43D8"/>
    <w:rsid w:val="005D4689"/>
    <w:rsid w:val="005D4AFC"/>
    <w:rsid w:val="005D4CA5"/>
    <w:rsid w:val="005D5403"/>
    <w:rsid w:val="005D59EA"/>
    <w:rsid w:val="005D5CBC"/>
    <w:rsid w:val="005D70A1"/>
    <w:rsid w:val="005D7648"/>
    <w:rsid w:val="005D7683"/>
    <w:rsid w:val="005D78A8"/>
    <w:rsid w:val="005E0967"/>
    <w:rsid w:val="005E1030"/>
    <w:rsid w:val="005E1231"/>
    <w:rsid w:val="005E1F3F"/>
    <w:rsid w:val="005E2A07"/>
    <w:rsid w:val="005E2BD3"/>
    <w:rsid w:val="005E2D18"/>
    <w:rsid w:val="005E2FCC"/>
    <w:rsid w:val="005E3901"/>
    <w:rsid w:val="005E3F69"/>
    <w:rsid w:val="005E4376"/>
    <w:rsid w:val="005E445F"/>
    <w:rsid w:val="005E4760"/>
    <w:rsid w:val="005E49C2"/>
    <w:rsid w:val="005E4B81"/>
    <w:rsid w:val="005E4CF0"/>
    <w:rsid w:val="005E5CD4"/>
    <w:rsid w:val="005E6741"/>
    <w:rsid w:val="005E6B9D"/>
    <w:rsid w:val="005F02ED"/>
    <w:rsid w:val="005F3301"/>
    <w:rsid w:val="005F36F2"/>
    <w:rsid w:val="005F3B9D"/>
    <w:rsid w:val="005F3F2A"/>
    <w:rsid w:val="005F5123"/>
    <w:rsid w:val="005F5912"/>
    <w:rsid w:val="005F65CA"/>
    <w:rsid w:val="005F6723"/>
    <w:rsid w:val="005F689D"/>
    <w:rsid w:val="005F7684"/>
    <w:rsid w:val="005F7ADC"/>
    <w:rsid w:val="005F7BED"/>
    <w:rsid w:val="005F7DC8"/>
    <w:rsid w:val="006000C2"/>
    <w:rsid w:val="00600729"/>
    <w:rsid w:val="00600B87"/>
    <w:rsid w:val="006014F0"/>
    <w:rsid w:val="0060150F"/>
    <w:rsid w:val="00601A55"/>
    <w:rsid w:val="00602126"/>
    <w:rsid w:val="00602611"/>
    <w:rsid w:val="00603991"/>
    <w:rsid w:val="00603E90"/>
    <w:rsid w:val="00605567"/>
    <w:rsid w:val="006063EA"/>
    <w:rsid w:val="00607F87"/>
    <w:rsid w:val="00610844"/>
    <w:rsid w:val="006109BD"/>
    <w:rsid w:val="00610D71"/>
    <w:rsid w:val="0061113A"/>
    <w:rsid w:val="00612243"/>
    <w:rsid w:val="0061234B"/>
    <w:rsid w:val="00612631"/>
    <w:rsid w:val="0061343F"/>
    <w:rsid w:val="00613535"/>
    <w:rsid w:val="00613909"/>
    <w:rsid w:val="00613E64"/>
    <w:rsid w:val="0061537C"/>
    <w:rsid w:val="00615417"/>
    <w:rsid w:val="0061617D"/>
    <w:rsid w:val="006163DF"/>
    <w:rsid w:val="0061760A"/>
    <w:rsid w:val="00617EB2"/>
    <w:rsid w:val="00620112"/>
    <w:rsid w:val="0062055C"/>
    <w:rsid w:val="0062060B"/>
    <w:rsid w:val="00620B44"/>
    <w:rsid w:val="0062155E"/>
    <w:rsid w:val="00622DC4"/>
    <w:rsid w:val="006243F6"/>
    <w:rsid w:val="006244BF"/>
    <w:rsid w:val="006248F7"/>
    <w:rsid w:val="00624A32"/>
    <w:rsid w:val="00624B88"/>
    <w:rsid w:val="006255E8"/>
    <w:rsid w:val="00626059"/>
    <w:rsid w:val="006270AE"/>
    <w:rsid w:val="00627E85"/>
    <w:rsid w:val="00630C34"/>
    <w:rsid w:val="00631272"/>
    <w:rsid w:val="00632CA3"/>
    <w:rsid w:val="006333AF"/>
    <w:rsid w:val="00633436"/>
    <w:rsid w:val="0063383E"/>
    <w:rsid w:val="0063390B"/>
    <w:rsid w:val="00634127"/>
    <w:rsid w:val="0063422A"/>
    <w:rsid w:val="0063448E"/>
    <w:rsid w:val="006349ED"/>
    <w:rsid w:val="0063573D"/>
    <w:rsid w:val="006357ED"/>
    <w:rsid w:val="00635ED7"/>
    <w:rsid w:val="00637123"/>
    <w:rsid w:val="006371E3"/>
    <w:rsid w:val="0063761D"/>
    <w:rsid w:val="00637884"/>
    <w:rsid w:val="00640326"/>
    <w:rsid w:val="00640B2B"/>
    <w:rsid w:val="006415A3"/>
    <w:rsid w:val="00641643"/>
    <w:rsid w:val="00641E6A"/>
    <w:rsid w:val="00641E9A"/>
    <w:rsid w:val="00641F22"/>
    <w:rsid w:val="00643604"/>
    <w:rsid w:val="00643ED0"/>
    <w:rsid w:val="0064507E"/>
    <w:rsid w:val="006461A2"/>
    <w:rsid w:val="00646885"/>
    <w:rsid w:val="00647456"/>
    <w:rsid w:val="00647A1E"/>
    <w:rsid w:val="00650340"/>
    <w:rsid w:val="00650801"/>
    <w:rsid w:val="006520E0"/>
    <w:rsid w:val="0065319D"/>
    <w:rsid w:val="006537EF"/>
    <w:rsid w:val="0065418D"/>
    <w:rsid w:val="00654256"/>
    <w:rsid w:val="00654D9B"/>
    <w:rsid w:val="00655838"/>
    <w:rsid w:val="0065583B"/>
    <w:rsid w:val="00656A2E"/>
    <w:rsid w:val="00656E2A"/>
    <w:rsid w:val="00656EA4"/>
    <w:rsid w:val="0065719F"/>
    <w:rsid w:val="00657B8C"/>
    <w:rsid w:val="00657EEC"/>
    <w:rsid w:val="00660433"/>
    <w:rsid w:val="00660879"/>
    <w:rsid w:val="00660AD3"/>
    <w:rsid w:val="00661FCB"/>
    <w:rsid w:val="0066340C"/>
    <w:rsid w:val="00663B2D"/>
    <w:rsid w:val="0066420C"/>
    <w:rsid w:val="00664DA4"/>
    <w:rsid w:val="00665379"/>
    <w:rsid w:val="0066717C"/>
    <w:rsid w:val="00667D8E"/>
    <w:rsid w:val="00670488"/>
    <w:rsid w:val="006709EA"/>
    <w:rsid w:val="00670D53"/>
    <w:rsid w:val="00670EB0"/>
    <w:rsid w:val="0067147A"/>
    <w:rsid w:val="006714A4"/>
    <w:rsid w:val="006720CB"/>
    <w:rsid w:val="0067301D"/>
    <w:rsid w:val="00673A9E"/>
    <w:rsid w:val="00673E24"/>
    <w:rsid w:val="006744C4"/>
    <w:rsid w:val="0067588A"/>
    <w:rsid w:val="00676053"/>
    <w:rsid w:val="00680981"/>
    <w:rsid w:val="00680AD6"/>
    <w:rsid w:val="006816FC"/>
    <w:rsid w:val="00681F9A"/>
    <w:rsid w:val="0068260A"/>
    <w:rsid w:val="0068263A"/>
    <w:rsid w:val="00682BB6"/>
    <w:rsid w:val="00682EAB"/>
    <w:rsid w:val="006830D8"/>
    <w:rsid w:val="00683652"/>
    <w:rsid w:val="00683BC6"/>
    <w:rsid w:val="00683D58"/>
    <w:rsid w:val="006849D8"/>
    <w:rsid w:val="00685664"/>
    <w:rsid w:val="006859CF"/>
    <w:rsid w:val="00685C92"/>
    <w:rsid w:val="00686716"/>
    <w:rsid w:val="00687005"/>
    <w:rsid w:val="006870FD"/>
    <w:rsid w:val="006873A7"/>
    <w:rsid w:val="006873DC"/>
    <w:rsid w:val="00687531"/>
    <w:rsid w:val="006918EE"/>
    <w:rsid w:val="00691A2F"/>
    <w:rsid w:val="006928E1"/>
    <w:rsid w:val="00692A30"/>
    <w:rsid w:val="00693316"/>
    <w:rsid w:val="00693663"/>
    <w:rsid w:val="006938EA"/>
    <w:rsid w:val="0069406B"/>
    <w:rsid w:val="006941DB"/>
    <w:rsid w:val="00694796"/>
    <w:rsid w:val="00694876"/>
    <w:rsid w:val="0069506E"/>
    <w:rsid w:val="006956F8"/>
    <w:rsid w:val="00695D80"/>
    <w:rsid w:val="00696F59"/>
    <w:rsid w:val="006978E0"/>
    <w:rsid w:val="006A0508"/>
    <w:rsid w:val="006A0BE6"/>
    <w:rsid w:val="006A1009"/>
    <w:rsid w:val="006A1F53"/>
    <w:rsid w:val="006A2208"/>
    <w:rsid w:val="006A26F7"/>
    <w:rsid w:val="006A3042"/>
    <w:rsid w:val="006A30A6"/>
    <w:rsid w:val="006A3102"/>
    <w:rsid w:val="006A3215"/>
    <w:rsid w:val="006A342D"/>
    <w:rsid w:val="006A3724"/>
    <w:rsid w:val="006A4A22"/>
    <w:rsid w:val="006A5584"/>
    <w:rsid w:val="006A588F"/>
    <w:rsid w:val="006A5B24"/>
    <w:rsid w:val="006A5D86"/>
    <w:rsid w:val="006A6684"/>
    <w:rsid w:val="006A6B36"/>
    <w:rsid w:val="006A6DB6"/>
    <w:rsid w:val="006A704C"/>
    <w:rsid w:val="006A7233"/>
    <w:rsid w:val="006B0045"/>
    <w:rsid w:val="006B014A"/>
    <w:rsid w:val="006B1875"/>
    <w:rsid w:val="006B2033"/>
    <w:rsid w:val="006B25DF"/>
    <w:rsid w:val="006B286E"/>
    <w:rsid w:val="006B3722"/>
    <w:rsid w:val="006B3B16"/>
    <w:rsid w:val="006B4506"/>
    <w:rsid w:val="006B4929"/>
    <w:rsid w:val="006B4A2C"/>
    <w:rsid w:val="006B5026"/>
    <w:rsid w:val="006B5E85"/>
    <w:rsid w:val="006B610D"/>
    <w:rsid w:val="006B6378"/>
    <w:rsid w:val="006B6B0C"/>
    <w:rsid w:val="006B738B"/>
    <w:rsid w:val="006B739D"/>
    <w:rsid w:val="006C01FE"/>
    <w:rsid w:val="006C064F"/>
    <w:rsid w:val="006C0A45"/>
    <w:rsid w:val="006C0F3A"/>
    <w:rsid w:val="006C21FB"/>
    <w:rsid w:val="006C3663"/>
    <w:rsid w:val="006C36F9"/>
    <w:rsid w:val="006C3D3F"/>
    <w:rsid w:val="006C4092"/>
    <w:rsid w:val="006C565A"/>
    <w:rsid w:val="006C5BEF"/>
    <w:rsid w:val="006C5D28"/>
    <w:rsid w:val="006C5EEA"/>
    <w:rsid w:val="006C67CA"/>
    <w:rsid w:val="006C6BD9"/>
    <w:rsid w:val="006C6D5D"/>
    <w:rsid w:val="006C6EAE"/>
    <w:rsid w:val="006D054E"/>
    <w:rsid w:val="006D075E"/>
    <w:rsid w:val="006D075F"/>
    <w:rsid w:val="006D0C1E"/>
    <w:rsid w:val="006D0CCD"/>
    <w:rsid w:val="006D15FA"/>
    <w:rsid w:val="006D1727"/>
    <w:rsid w:val="006D1C8E"/>
    <w:rsid w:val="006D1EB1"/>
    <w:rsid w:val="006D3520"/>
    <w:rsid w:val="006D4326"/>
    <w:rsid w:val="006D44E1"/>
    <w:rsid w:val="006D4D8B"/>
    <w:rsid w:val="006D4DB3"/>
    <w:rsid w:val="006D56A3"/>
    <w:rsid w:val="006D57CE"/>
    <w:rsid w:val="006D5D30"/>
    <w:rsid w:val="006D6087"/>
    <w:rsid w:val="006D6B79"/>
    <w:rsid w:val="006D6CCD"/>
    <w:rsid w:val="006D6DA9"/>
    <w:rsid w:val="006D76DF"/>
    <w:rsid w:val="006D7724"/>
    <w:rsid w:val="006D7C83"/>
    <w:rsid w:val="006E064D"/>
    <w:rsid w:val="006E0751"/>
    <w:rsid w:val="006E11D8"/>
    <w:rsid w:val="006E1496"/>
    <w:rsid w:val="006E1B6B"/>
    <w:rsid w:val="006E1C1E"/>
    <w:rsid w:val="006E3001"/>
    <w:rsid w:val="006E34B7"/>
    <w:rsid w:val="006E3ED9"/>
    <w:rsid w:val="006E490A"/>
    <w:rsid w:val="006E5E21"/>
    <w:rsid w:val="006E616F"/>
    <w:rsid w:val="006E6408"/>
    <w:rsid w:val="006E6550"/>
    <w:rsid w:val="006F020E"/>
    <w:rsid w:val="006F049F"/>
    <w:rsid w:val="006F07ED"/>
    <w:rsid w:val="006F0B0A"/>
    <w:rsid w:val="006F0FE5"/>
    <w:rsid w:val="006F1FC0"/>
    <w:rsid w:val="006F2066"/>
    <w:rsid w:val="006F2361"/>
    <w:rsid w:val="006F2CF7"/>
    <w:rsid w:val="006F300F"/>
    <w:rsid w:val="006F3ABD"/>
    <w:rsid w:val="006F3CA5"/>
    <w:rsid w:val="006F4795"/>
    <w:rsid w:val="006F4891"/>
    <w:rsid w:val="006F4B73"/>
    <w:rsid w:val="006F4DD6"/>
    <w:rsid w:val="006F4F4F"/>
    <w:rsid w:val="006F501F"/>
    <w:rsid w:val="006F5072"/>
    <w:rsid w:val="006F5E86"/>
    <w:rsid w:val="006F6C82"/>
    <w:rsid w:val="006F6E24"/>
    <w:rsid w:val="006F6EAA"/>
    <w:rsid w:val="006F78A2"/>
    <w:rsid w:val="00701FB5"/>
    <w:rsid w:val="00702105"/>
    <w:rsid w:val="00704520"/>
    <w:rsid w:val="00704DDA"/>
    <w:rsid w:val="00704EBC"/>
    <w:rsid w:val="00705200"/>
    <w:rsid w:val="007055AF"/>
    <w:rsid w:val="007060B2"/>
    <w:rsid w:val="0070667D"/>
    <w:rsid w:val="00707704"/>
    <w:rsid w:val="00707936"/>
    <w:rsid w:val="00710238"/>
    <w:rsid w:val="007103FB"/>
    <w:rsid w:val="00710786"/>
    <w:rsid w:val="00711045"/>
    <w:rsid w:val="00711223"/>
    <w:rsid w:val="00711C43"/>
    <w:rsid w:val="00711F2E"/>
    <w:rsid w:val="00712D40"/>
    <w:rsid w:val="00713902"/>
    <w:rsid w:val="0071474A"/>
    <w:rsid w:val="0071496E"/>
    <w:rsid w:val="00715222"/>
    <w:rsid w:val="00715FAB"/>
    <w:rsid w:val="007162B1"/>
    <w:rsid w:val="00717891"/>
    <w:rsid w:val="00717A28"/>
    <w:rsid w:val="00717E3E"/>
    <w:rsid w:val="0072015E"/>
    <w:rsid w:val="007214D2"/>
    <w:rsid w:val="00721D3A"/>
    <w:rsid w:val="00722871"/>
    <w:rsid w:val="0072396D"/>
    <w:rsid w:val="00724A4C"/>
    <w:rsid w:val="0072576C"/>
    <w:rsid w:val="00725838"/>
    <w:rsid w:val="0072629F"/>
    <w:rsid w:val="00727C3A"/>
    <w:rsid w:val="00727C81"/>
    <w:rsid w:val="0073176C"/>
    <w:rsid w:val="00731926"/>
    <w:rsid w:val="0073197C"/>
    <w:rsid w:val="007322E4"/>
    <w:rsid w:val="0073258E"/>
    <w:rsid w:val="007327B5"/>
    <w:rsid w:val="00732E3F"/>
    <w:rsid w:val="007339CF"/>
    <w:rsid w:val="00733BFF"/>
    <w:rsid w:val="00734B68"/>
    <w:rsid w:val="00734DA8"/>
    <w:rsid w:val="0073657C"/>
    <w:rsid w:val="00736899"/>
    <w:rsid w:val="00736CAA"/>
    <w:rsid w:val="00737447"/>
    <w:rsid w:val="00740409"/>
    <w:rsid w:val="00740414"/>
    <w:rsid w:val="00740AAB"/>
    <w:rsid w:val="007416BC"/>
    <w:rsid w:val="0074245F"/>
    <w:rsid w:val="0074373C"/>
    <w:rsid w:val="00743AD3"/>
    <w:rsid w:val="0074402B"/>
    <w:rsid w:val="00744139"/>
    <w:rsid w:val="0074579E"/>
    <w:rsid w:val="00745B0E"/>
    <w:rsid w:val="00745C82"/>
    <w:rsid w:val="00746D55"/>
    <w:rsid w:val="00747C42"/>
    <w:rsid w:val="00747E15"/>
    <w:rsid w:val="00750492"/>
    <w:rsid w:val="007506CE"/>
    <w:rsid w:val="0075073D"/>
    <w:rsid w:val="0075089D"/>
    <w:rsid w:val="0075132E"/>
    <w:rsid w:val="00752371"/>
    <w:rsid w:val="00752A9D"/>
    <w:rsid w:val="00752C10"/>
    <w:rsid w:val="00752F7B"/>
    <w:rsid w:val="00753156"/>
    <w:rsid w:val="00754500"/>
    <w:rsid w:val="007548C9"/>
    <w:rsid w:val="00754FA5"/>
    <w:rsid w:val="007557D1"/>
    <w:rsid w:val="007558EC"/>
    <w:rsid w:val="00755F17"/>
    <w:rsid w:val="00756609"/>
    <w:rsid w:val="007570A1"/>
    <w:rsid w:val="00757EC3"/>
    <w:rsid w:val="00761BFE"/>
    <w:rsid w:val="00761C07"/>
    <w:rsid w:val="007627D3"/>
    <w:rsid w:val="00763874"/>
    <w:rsid w:val="007638CF"/>
    <w:rsid w:val="00764011"/>
    <w:rsid w:val="0076428B"/>
    <w:rsid w:val="0076442B"/>
    <w:rsid w:val="0076506C"/>
    <w:rsid w:val="0076658B"/>
    <w:rsid w:val="00766FFE"/>
    <w:rsid w:val="0076710B"/>
    <w:rsid w:val="007671FE"/>
    <w:rsid w:val="0077034A"/>
    <w:rsid w:val="0077158B"/>
    <w:rsid w:val="0077182C"/>
    <w:rsid w:val="00771C1E"/>
    <w:rsid w:val="007727B1"/>
    <w:rsid w:val="00772900"/>
    <w:rsid w:val="00772D28"/>
    <w:rsid w:val="00773298"/>
    <w:rsid w:val="00773825"/>
    <w:rsid w:val="00773B87"/>
    <w:rsid w:val="00773C58"/>
    <w:rsid w:val="0077455D"/>
    <w:rsid w:val="0077483F"/>
    <w:rsid w:val="00774D8F"/>
    <w:rsid w:val="007765B4"/>
    <w:rsid w:val="007767F2"/>
    <w:rsid w:val="00776C2E"/>
    <w:rsid w:val="00777054"/>
    <w:rsid w:val="0077721F"/>
    <w:rsid w:val="007777BD"/>
    <w:rsid w:val="007779AA"/>
    <w:rsid w:val="0078312A"/>
    <w:rsid w:val="00783524"/>
    <w:rsid w:val="00783887"/>
    <w:rsid w:val="00784424"/>
    <w:rsid w:val="00784921"/>
    <w:rsid w:val="00784F60"/>
    <w:rsid w:val="0078510F"/>
    <w:rsid w:val="007864DF"/>
    <w:rsid w:val="00786DB0"/>
    <w:rsid w:val="007900CB"/>
    <w:rsid w:val="007903B6"/>
    <w:rsid w:val="007905DB"/>
    <w:rsid w:val="00790D0A"/>
    <w:rsid w:val="007912F3"/>
    <w:rsid w:val="00791F71"/>
    <w:rsid w:val="00791FFE"/>
    <w:rsid w:val="007930C0"/>
    <w:rsid w:val="007933DA"/>
    <w:rsid w:val="00793A68"/>
    <w:rsid w:val="00793EBD"/>
    <w:rsid w:val="007948F5"/>
    <w:rsid w:val="00794C2A"/>
    <w:rsid w:val="00795956"/>
    <w:rsid w:val="007965E6"/>
    <w:rsid w:val="00796C43"/>
    <w:rsid w:val="007A02A9"/>
    <w:rsid w:val="007A0640"/>
    <w:rsid w:val="007A07E0"/>
    <w:rsid w:val="007A1002"/>
    <w:rsid w:val="007A2535"/>
    <w:rsid w:val="007A2582"/>
    <w:rsid w:val="007A2A03"/>
    <w:rsid w:val="007A2F88"/>
    <w:rsid w:val="007A3301"/>
    <w:rsid w:val="007A3416"/>
    <w:rsid w:val="007A3499"/>
    <w:rsid w:val="007A353B"/>
    <w:rsid w:val="007A3B11"/>
    <w:rsid w:val="007A4433"/>
    <w:rsid w:val="007A4E2F"/>
    <w:rsid w:val="007A4E3B"/>
    <w:rsid w:val="007A6648"/>
    <w:rsid w:val="007A6915"/>
    <w:rsid w:val="007A6BA6"/>
    <w:rsid w:val="007A6D80"/>
    <w:rsid w:val="007A768A"/>
    <w:rsid w:val="007B01C8"/>
    <w:rsid w:val="007B0711"/>
    <w:rsid w:val="007B0AF5"/>
    <w:rsid w:val="007B1999"/>
    <w:rsid w:val="007B1E05"/>
    <w:rsid w:val="007B1F2F"/>
    <w:rsid w:val="007B203E"/>
    <w:rsid w:val="007B2515"/>
    <w:rsid w:val="007B2ABE"/>
    <w:rsid w:val="007B30F9"/>
    <w:rsid w:val="007B4C42"/>
    <w:rsid w:val="007B5305"/>
    <w:rsid w:val="007B59BF"/>
    <w:rsid w:val="007B6A0F"/>
    <w:rsid w:val="007B76A0"/>
    <w:rsid w:val="007B78DB"/>
    <w:rsid w:val="007B7A86"/>
    <w:rsid w:val="007B7F6F"/>
    <w:rsid w:val="007C062E"/>
    <w:rsid w:val="007C07F8"/>
    <w:rsid w:val="007C11CF"/>
    <w:rsid w:val="007C1463"/>
    <w:rsid w:val="007C1EB6"/>
    <w:rsid w:val="007C1F21"/>
    <w:rsid w:val="007C351B"/>
    <w:rsid w:val="007C3577"/>
    <w:rsid w:val="007C37F1"/>
    <w:rsid w:val="007C3DE6"/>
    <w:rsid w:val="007C486B"/>
    <w:rsid w:val="007C504D"/>
    <w:rsid w:val="007C5131"/>
    <w:rsid w:val="007C5242"/>
    <w:rsid w:val="007C530F"/>
    <w:rsid w:val="007C5BD4"/>
    <w:rsid w:val="007C5BFB"/>
    <w:rsid w:val="007C6143"/>
    <w:rsid w:val="007C7415"/>
    <w:rsid w:val="007D0297"/>
    <w:rsid w:val="007D061D"/>
    <w:rsid w:val="007D0F20"/>
    <w:rsid w:val="007D11AF"/>
    <w:rsid w:val="007D13D3"/>
    <w:rsid w:val="007D195C"/>
    <w:rsid w:val="007D213F"/>
    <w:rsid w:val="007D3093"/>
    <w:rsid w:val="007D326E"/>
    <w:rsid w:val="007D3CAD"/>
    <w:rsid w:val="007D3E1B"/>
    <w:rsid w:val="007D4E57"/>
    <w:rsid w:val="007D5630"/>
    <w:rsid w:val="007D6E43"/>
    <w:rsid w:val="007D7119"/>
    <w:rsid w:val="007D72E3"/>
    <w:rsid w:val="007E10F4"/>
    <w:rsid w:val="007E1A05"/>
    <w:rsid w:val="007E206A"/>
    <w:rsid w:val="007E2AAA"/>
    <w:rsid w:val="007E3551"/>
    <w:rsid w:val="007E4337"/>
    <w:rsid w:val="007E4646"/>
    <w:rsid w:val="007E5D42"/>
    <w:rsid w:val="007E61B1"/>
    <w:rsid w:val="007E69D9"/>
    <w:rsid w:val="007E6BA0"/>
    <w:rsid w:val="007E6C5C"/>
    <w:rsid w:val="007E7E7B"/>
    <w:rsid w:val="007F0D9A"/>
    <w:rsid w:val="007F0F25"/>
    <w:rsid w:val="007F159E"/>
    <w:rsid w:val="007F1BBF"/>
    <w:rsid w:val="007F1D4E"/>
    <w:rsid w:val="007F31F0"/>
    <w:rsid w:val="007F3EDE"/>
    <w:rsid w:val="007F4A62"/>
    <w:rsid w:val="007F4CD3"/>
    <w:rsid w:val="007F504C"/>
    <w:rsid w:val="007F5CC9"/>
    <w:rsid w:val="007F63C7"/>
    <w:rsid w:val="007F6AC1"/>
    <w:rsid w:val="007F77C5"/>
    <w:rsid w:val="007F7C14"/>
    <w:rsid w:val="00800266"/>
    <w:rsid w:val="008012F5"/>
    <w:rsid w:val="00802CBD"/>
    <w:rsid w:val="00802F4E"/>
    <w:rsid w:val="0080340E"/>
    <w:rsid w:val="00803F62"/>
    <w:rsid w:val="00804BA1"/>
    <w:rsid w:val="0080595A"/>
    <w:rsid w:val="00807D0C"/>
    <w:rsid w:val="008108C4"/>
    <w:rsid w:val="0081148A"/>
    <w:rsid w:val="00811F5B"/>
    <w:rsid w:val="008122D0"/>
    <w:rsid w:val="00812838"/>
    <w:rsid w:val="008128D7"/>
    <w:rsid w:val="00812DFE"/>
    <w:rsid w:val="00813D5B"/>
    <w:rsid w:val="00813FD8"/>
    <w:rsid w:val="00815EBD"/>
    <w:rsid w:val="00816369"/>
    <w:rsid w:val="00816C36"/>
    <w:rsid w:val="00817663"/>
    <w:rsid w:val="008204B1"/>
    <w:rsid w:val="00821C5A"/>
    <w:rsid w:val="00822017"/>
    <w:rsid w:val="00822BCF"/>
    <w:rsid w:val="00822C43"/>
    <w:rsid w:val="00822DE4"/>
    <w:rsid w:val="00822EAB"/>
    <w:rsid w:val="00823FE1"/>
    <w:rsid w:val="00824A41"/>
    <w:rsid w:val="00824A68"/>
    <w:rsid w:val="008251BB"/>
    <w:rsid w:val="00825524"/>
    <w:rsid w:val="00825724"/>
    <w:rsid w:val="008258E1"/>
    <w:rsid w:val="008266BA"/>
    <w:rsid w:val="00826EA3"/>
    <w:rsid w:val="0082757B"/>
    <w:rsid w:val="0082768B"/>
    <w:rsid w:val="00827E2C"/>
    <w:rsid w:val="008311C2"/>
    <w:rsid w:val="00831E25"/>
    <w:rsid w:val="00831F24"/>
    <w:rsid w:val="0083378C"/>
    <w:rsid w:val="008338AA"/>
    <w:rsid w:val="00834676"/>
    <w:rsid w:val="00835171"/>
    <w:rsid w:val="0083534F"/>
    <w:rsid w:val="0083565F"/>
    <w:rsid w:val="008356C1"/>
    <w:rsid w:val="00835D1D"/>
    <w:rsid w:val="00835D8A"/>
    <w:rsid w:val="00836284"/>
    <w:rsid w:val="008364E0"/>
    <w:rsid w:val="00836C23"/>
    <w:rsid w:val="00840051"/>
    <w:rsid w:val="00840059"/>
    <w:rsid w:val="00840D74"/>
    <w:rsid w:val="00840F8D"/>
    <w:rsid w:val="00841458"/>
    <w:rsid w:val="008422D3"/>
    <w:rsid w:val="008428B5"/>
    <w:rsid w:val="00842F48"/>
    <w:rsid w:val="0084324F"/>
    <w:rsid w:val="00844392"/>
    <w:rsid w:val="008444F1"/>
    <w:rsid w:val="00844D8E"/>
    <w:rsid w:val="00844F42"/>
    <w:rsid w:val="00844FF7"/>
    <w:rsid w:val="00845507"/>
    <w:rsid w:val="00846230"/>
    <w:rsid w:val="00846A82"/>
    <w:rsid w:val="00847D91"/>
    <w:rsid w:val="00847F22"/>
    <w:rsid w:val="00850193"/>
    <w:rsid w:val="0085031E"/>
    <w:rsid w:val="008504C9"/>
    <w:rsid w:val="008507E4"/>
    <w:rsid w:val="00851065"/>
    <w:rsid w:val="00851AEB"/>
    <w:rsid w:val="00851FD0"/>
    <w:rsid w:val="008528F1"/>
    <w:rsid w:val="00853C55"/>
    <w:rsid w:val="00854287"/>
    <w:rsid w:val="008542EF"/>
    <w:rsid w:val="00854AF9"/>
    <w:rsid w:val="00855B41"/>
    <w:rsid w:val="00855C48"/>
    <w:rsid w:val="00857BCF"/>
    <w:rsid w:val="00857CD8"/>
    <w:rsid w:val="008603DB"/>
    <w:rsid w:val="00861333"/>
    <w:rsid w:val="00861341"/>
    <w:rsid w:val="00862495"/>
    <w:rsid w:val="008640B3"/>
    <w:rsid w:val="008644B7"/>
    <w:rsid w:val="0086493F"/>
    <w:rsid w:val="008659D7"/>
    <w:rsid w:val="00865F3D"/>
    <w:rsid w:val="0086651A"/>
    <w:rsid w:val="00866AFF"/>
    <w:rsid w:val="00867147"/>
    <w:rsid w:val="008701BB"/>
    <w:rsid w:val="008709DE"/>
    <w:rsid w:val="00870D2A"/>
    <w:rsid w:val="008716D0"/>
    <w:rsid w:val="00871B18"/>
    <w:rsid w:val="00871C03"/>
    <w:rsid w:val="00872024"/>
    <w:rsid w:val="00872389"/>
    <w:rsid w:val="0087254F"/>
    <w:rsid w:val="00872D9A"/>
    <w:rsid w:val="008736C5"/>
    <w:rsid w:val="008749EC"/>
    <w:rsid w:val="00874B99"/>
    <w:rsid w:val="0087543E"/>
    <w:rsid w:val="008762F2"/>
    <w:rsid w:val="008768E2"/>
    <w:rsid w:val="00876C04"/>
    <w:rsid w:val="0087705D"/>
    <w:rsid w:val="00877163"/>
    <w:rsid w:val="00877521"/>
    <w:rsid w:val="008775F2"/>
    <w:rsid w:val="0087774D"/>
    <w:rsid w:val="00877854"/>
    <w:rsid w:val="00877C60"/>
    <w:rsid w:val="008816B9"/>
    <w:rsid w:val="00881833"/>
    <w:rsid w:val="008820F1"/>
    <w:rsid w:val="0088301C"/>
    <w:rsid w:val="00884645"/>
    <w:rsid w:val="00884F67"/>
    <w:rsid w:val="008861DB"/>
    <w:rsid w:val="0089022C"/>
    <w:rsid w:val="00890F2F"/>
    <w:rsid w:val="00891B7B"/>
    <w:rsid w:val="00891C3B"/>
    <w:rsid w:val="008931EB"/>
    <w:rsid w:val="0089374A"/>
    <w:rsid w:val="00893B06"/>
    <w:rsid w:val="00894133"/>
    <w:rsid w:val="00894281"/>
    <w:rsid w:val="00894338"/>
    <w:rsid w:val="0089470B"/>
    <w:rsid w:val="00894C8F"/>
    <w:rsid w:val="00895351"/>
    <w:rsid w:val="00895B38"/>
    <w:rsid w:val="00896BD8"/>
    <w:rsid w:val="00897242"/>
    <w:rsid w:val="00897715"/>
    <w:rsid w:val="008A0880"/>
    <w:rsid w:val="008A0FDF"/>
    <w:rsid w:val="008A110A"/>
    <w:rsid w:val="008A16F3"/>
    <w:rsid w:val="008A1791"/>
    <w:rsid w:val="008A3327"/>
    <w:rsid w:val="008A420C"/>
    <w:rsid w:val="008A4D8C"/>
    <w:rsid w:val="008A4EF7"/>
    <w:rsid w:val="008A5285"/>
    <w:rsid w:val="008A52A7"/>
    <w:rsid w:val="008A557A"/>
    <w:rsid w:val="008A5659"/>
    <w:rsid w:val="008A59A8"/>
    <w:rsid w:val="008A5D8C"/>
    <w:rsid w:val="008A5E13"/>
    <w:rsid w:val="008A6F00"/>
    <w:rsid w:val="008A7120"/>
    <w:rsid w:val="008A72E7"/>
    <w:rsid w:val="008A7D5D"/>
    <w:rsid w:val="008A7EC0"/>
    <w:rsid w:val="008B04BE"/>
    <w:rsid w:val="008B04E3"/>
    <w:rsid w:val="008B063B"/>
    <w:rsid w:val="008B1B40"/>
    <w:rsid w:val="008B2505"/>
    <w:rsid w:val="008B35B5"/>
    <w:rsid w:val="008B3665"/>
    <w:rsid w:val="008B3901"/>
    <w:rsid w:val="008B3D5D"/>
    <w:rsid w:val="008B4520"/>
    <w:rsid w:val="008B504E"/>
    <w:rsid w:val="008B52D1"/>
    <w:rsid w:val="008B5676"/>
    <w:rsid w:val="008B5803"/>
    <w:rsid w:val="008B5B8B"/>
    <w:rsid w:val="008B5BB4"/>
    <w:rsid w:val="008B5C05"/>
    <w:rsid w:val="008B5F47"/>
    <w:rsid w:val="008B6520"/>
    <w:rsid w:val="008B7007"/>
    <w:rsid w:val="008B70F7"/>
    <w:rsid w:val="008B751A"/>
    <w:rsid w:val="008C0855"/>
    <w:rsid w:val="008C096E"/>
    <w:rsid w:val="008C13A8"/>
    <w:rsid w:val="008C1CE6"/>
    <w:rsid w:val="008C2C0E"/>
    <w:rsid w:val="008C35B2"/>
    <w:rsid w:val="008C3C0A"/>
    <w:rsid w:val="008C5261"/>
    <w:rsid w:val="008C53E7"/>
    <w:rsid w:val="008C56C9"/>
    <w:rsid w:val="008C5D1E"/>
    <w:rsid w:val="008C61C8"/>
    <w:rsid w:val="008C6743"/>
    <w:rsid w:val="008C6B06"/>
    <w:rsid w:val="008C7A0D"/>
    <w:rsid w:val="008C7B4F"/>
    <w:rsid w:val="008C7E02"/>
    <w:rsid w:val="008D085E"/>
    <w:rsid w:val="008D10CA"/>
    <w:rsid w:val="008D1A2D"/>
    <w:rsid w:val="008D1A81"/>
    <w:rsid w:val="008D1EC0"/>
    <w:rsid w:val="008D2CD4"/>
    <w:rsid w:val="008D2DB8"/>
    <w:rsid w:val="008D3632"/>
    <w:rsid w:val="008D36EC"/>
    <w:rsid w:val="008D3A3A"/>
    <w:rsid w:val="008D3BD2"/>
    <w:rsid w:val="008D3C7E"/>
    <w:rsid w:val="008D420A"/>
    <w:rsid w:val="008D5CAA"/>
    <w:rsid w:val="008D5D03"/>
    <w:rsid w:val="008D62FB"/>
    <w:rsid w:val="008D6ED5"/>
    <w:rsid w:val="008D7309"/>
    <w:rsid w:val="008D74C9"/>
    <w:rsid w:val="008E1B4D"/>
    <w:rsid w:val="008E1F5E"/>
    <w:rsid w:val="008E4278"/>
    <w:rsid w:val="008E4546"/>
    <w:rsid w:val="008E4877"/>
    <w:rsid w:val="008E60F6"/>
    <w:rsid w:val="008E6FEE"/>
    <w:rsid w:val="008E7096"/>
    <w:rsid w:val="008E7713"/>
    <w:rsid w:val="008F16FA"/>
    <w:rsid w:val="008F1B8C"/>
    <w:rsid w:val="008F23B7"/>
    <w:rsid w:val="008F2605"/>
    <w:rsid w:val="008F526B"/>
    <w:rsid w:val="008F57F2"/>
    <w:rsid w:val="008F647E"/>
    <w:rsid w:val="008F6A40"/>
    <w:rsid w:val="008F6E12"/>
    <w:rsid w:val="008F705A"/>
    <w:rsid w:val="008F73CC"/>
    <w:rsid w:val="008F7BB0"/>
    <w:rsid w:val="008F7D09"/>
    <w:rsid w:val="00900642"/>
    <w:rsid w:val="009013A1"/>
    <w:rsid w:val="0090212A"/>
    <w:rsid w:val="009021E3"/>
    <w:rsid w:val="00902BCF"/>
    <w:rsid w:val="00902C49"/>
    <w:rsid w:val="00902E8B"/>
    <w:rsid w:val="009030FB"/>
    <w:rsid w:val="00903321"/>
    <w:rsid w:val="0090376D"/>
    <w:rsid w:val="009045DC"/>
    <w:rsid w:val="0090482A"/>
    <w:rsid w:val="00904A79"/>
    <w:rsid w:val="00905828"/>
    <w:rsid w:val="009058A6"/>
    <w:rsid w:val="00905BBD"/>
    <w:rsid w:val="009065AC"/>
    <w:rsid w:val="0090690E"/>
    <w:rsid w:val="0090699D"/>
    <w:rsid w:val="00907A2F"/>
    <w:rsid w:val="00907BB5"/>
    <w:rsid w:val="00907D5D"/>
    <w:rsid w:val="00907E88"/>
    <w:rsid w:val="00910643"/>
    <w:rsid w:val="00910668"/>
    <w:rsid w:val="00911674"/>
    <w:rsid w:val="009133F2"/>
    <w:rsid w:val="009138A4"/>
    <w:rsid w:val="00913A0A"/>
    <w:rsid w:val="00913CE7"/>
    <w:rsid w:val="00913F24"/>
    <w:rsid w:val="009142CA"/>
    <w:rsid w:val="009154B3"/>
    <w:rsid w:val="00917830"/>
    <w:rsid w:val="00917F27"/>
    <w:rsid w:val="009206F7"/>
    <w:rsid w:val="0092149D"/>
    <w:rsid w:val="009221F1"/>
    <w:rsid w:val="009223D7"/>
    <w:rsid w:val="00923057"/>
    <w:rsid w:val="0092336B"/>
    <w:rsid w:val="00923500"/>
    <w:rsid w:val="009237DC"/>
    <w:rsid w:val="00923B68"/>
    <w:rsid w:val="00923DF1"/>
    <w:rsid w:val="00924376"/>
    <w:rsid w:val="0092473B"/>
    <w:rsid w:val="00925C7D"/>
    <w:rsid w:val="009261A5"/>
    <w:rsid w:val="00926270"/>
    <w:rsid w:val="00926CA5"/>
    <w:rsid w:val="00926FFB"/>
    <w:rsid w:val="00927369"/>
    <w:rsid w:val="00927756"/>
    <w:rsid w:val="00927EC9"/>
    <w:rsid w:val="0093011F"/>
    <w:rsid w:val="00931792"/>
    <w:rsid w:val="0093251F"/>
    <w:rsid w:val="009326FC"/>
    <w:rsid w:val="009328AC"/>
    <w:rsid w:val="0093338B"/>
    <w:rsid w:val="009333C8"/>
    <w:rsid w:val="00933D70"/>
    <w:rsid w:val="0093508F"/>
    <w:rsid w:val="00935AAB"/>
    <w:rsid w:val="00940488"/>
    <w:rsid w:val="0094250B"/>
    <w:rsid w:val="009432E4"/>
    <w:rsid w:val="00943610"/>
    <w:rsid w:val="00944186"/>
    <w:rsid w:val="00944288"/>
    <w:rsid w:val="00945121"/>
    <w:rsid w:val="00945538"/>
    <w:rsid w:val="00945750"/>
    <w:rsid w:val="0094662B"/>
    <w:rsid w:val="009476D5"/>
    <w:rsid w:val="0094786D"/>
    <w:rsid w:val="00947AF2"/>
    <w:rsid w:val="00947EC1"/>
    <w:rsid w:val="00951643"/>
    <w:rsid w:val="00951982"/>
    <w:rsid w:val="00951DEB"/>
    <w:rsid w:val="00954799"/>
    <w:rsid w:val="009555BD"/>
    <w:rsid w:val="0095602B"/>
    <w:rsid w:val="009564AF"/>
    <w:rsid w:val="00956518"/>
    <w:rsid w:val="00956A30"/>
    <w:rsid w:val="00956E65"/>
    <w:rsid w:val="00960B9E"/>
    <w:rsid w:val="0096130C"/>
    <w:rsid w:val="00961466"/>
    <w:rsid w:val="009616DF"/>
    <w:rsid w:val="00961DBD"/>
    <w:rsid w:val="00963475"/>
    <w:rsid w:val="009634BB"/>
    <w:rsid w:val="0096392D"/>
    <w:rsid w:val="00964102"/>
    <w:rsid w:val="0096475C"/>
    <w:rsid w:val="0096583C"/>
    <w:rsid w:val="00965D24"/>
    <w:rsid w:val="0096695E"/>
    <w:rsid w:val="009673B0"/>
    <w:rsid w:val="00970BAA"/>
    <w:rsid w:val="00970CD9"/>
    <w:rsid w:val="00970CED"/>
    <w:rsid w:val="009715B4"/>
    <w:rsid w:val="00972445"/>
    <w:rsid w:val="00972640"/>
    <w:rsid w:val="00972A95"/>
    <w:rsid w:val="00973BEA"/>
    <w:rsid w:val="00973D11"/>
    <w:rsid w:val="00974646"/>
    <w:rsid w:val="0097495F"/>
    <w:rsid w:val="009753A2"/>
    <w:rsid w:val="00975CCE"/>
    <w:rsid w:val="00975EB9"/>
    <w:rsid w:val="00976257"/>
    <w:rsid w:val="009766A5"/>
    <w:rsid w:val="0098065E"/>
    <w:rsid w:val="00980784"/>
    <w:rsid w:val="00980818"/>
    <w:rsid w:val="00980EAD"/>
    <w:rsid w:val="00981297"/>
    <w:rsid w:val="0098154A"/>
    <w:rsid w:val="009815E9"/>
    <w:rsid w:val="009816AD"/>
    <w:rsid w:val="00981AD8"/>
    <w:rsid w:val="00981E26"/>
    <w:rsid w:val="00981E85"/>
    <w:rsid w:val="00981F7D"/>
    <w:rsid w:val="00982363"/>
    <w:rsid w:val="00984031"/>
    <w:rsid w:val="0098437E"/>
    <w:rsid w:val="00984803"/>
    <w:rsid w:val="00984CC2"/>
    <w:rsid w:val="009858A2"/>
    <w:rsid w:val="00985B22"/>
    <w:rsid w:val="00990031"/>
    <w:rsid w:val="00990C7A"/>
    <w:rsid w:val="00991441"/>
    <w:rsid w:val="00991C28"/>
    <w:rsid w:val="00991DE7"/>
    <w:rsid w:val="0099341A"/>
    <w:rsid w:val="00993B52"/>
    <w:rsid w:val="009946E8"/>
    <w:rsid w:val="0099511B"/>
    <w:rsid w:val="00995819"/>
    <w:rsid w:val="00996B1C"/>
    <w:rsid w:val="00997317"/>
    <w:rsid w:val="009A0EE1"/>
    <w:rsid w:val="009A1641"/>
    <w:rsid w:val="009A2366"/>
    <w:rsid w:val="009A2682"/>
    <w:rsid w:val="009A272D"/>
    <w:rsid w:val="009A4A09"/>
    <w:rsid w:val="009A4D38"/>
    <w:rsid w:val="009A59C3"/>
    <w:rsid w:val="009A5CA0"/>
    <w:rsid w:val="009A6147"/>
    <w:rsid w:val="009A680B"/>
    <w:rsid w:val="009A6A5A"/>
    <w:rsid w:val="009A7F60"/>
    <w:rsid w:val="009B0282"/>
    <w:rsid w:val="009B15F0"/>
    <w:rsid w:val="009B1D53"/>
    <w:rsid w:val="009B1DEF"/>
    <w:rsid w:val="009B20A1"/>
    <w:rsid w:val="009B20EF"/>
    <w:rsid w:val="009B23D6"/>
    <w:rsid w:val="009B32E4"/>
    <w:rsid w:val="009B3EFA"/>
    <w:rsid w:val="009B4257"/>
    <w:rsid w:val="009B4877"/>
    <w:rsid w:val="009B49CB"/>
    <w:rsid w:val="009B4C62"/>
    <w:rsid w:val="009B55ED"/>
    <w:rsid w:val="009C0A73"/>
    <w:rsid w:val="009C1605"/>
    <w:rsid w:val="009C1892"/>
    <w:rsid w:val="009C254F"/>
    <w:rsid w:val="009C2FF1"/>
    <w:rsid w:val="009C40F5"/>
    <w:rsid w:val="009C4326"/>
    <w:rsid w:val="009C501E"/>
    <w:rsid w:val="009C5369"/>
    <w:rsid w:val="009C59CF"/>
    <w:rsid w:val="009C59DC"/>
    <w:rsid w:val="009C60C1"/>
    <w:rsid w:val="009D0BBA"/>
    <w:rsid w:val="009D0DB1"/>
    <w:rsid w:val="009D0F43"/>
    <w:rsid w:val="009D181C"/>
    <w:rsid w:val="009D2C8E"/>
    <w:rsid w:val="009D3A9D"/>
    <w:rsid w:val="009D3B25"/>
    <w:rsid w:val="009D3C0A"/>
    <w:rsid w:val="009D3E26"/>
    <w:rsid w:val="009D4409"/>
    <w:rsid w:val="009D5E08"/>
    <w:rsid w:val="009D75AF"/>
    <w:rsid w:val="009E006B"/>
    <w:rsid w:val="009E0518"/>
    <w:rsid w:val="009E1384"/>
    <w:rsid w:val="009E2068"/>
    <w:rsid w:val="009E21F0"/>
    <w:rsid w:val="009E21F2"/>
    <w:rsid w:val="009E2716"/>
    <w:rsid w:val="009E2E6A"/>
    <w:rsid w:val="009E2FB2"/>
    <w:rsid w:val="009E3010"/>
    <w:rsid w:val="009E3888"/>
    <w:rsid w:val="009E3D9A"/>
    <w:rsid w:val="009E5ADF"/>
    <w:rsid w:val="009E7204"/>
    <w:rsid w:val="009E77CE"/>
    <w:rsid w:val="009E7962"/>
    <w:rsid w:val="009E7E9B"/>
    <w:rsid w:val="009F067E"/>
    <w:rsid w:val="009F0DB3"/>
    <w:rsid w:val="009F114B"/>
    <w:rsid w:val="009F218B"/>
    <w:rsid w:val="009F2642"/>
    <w:rsid w:val="009F40DF"/>
    <w:rsid w:val="009F5495"/>
    <w:rsid w:val="009F5A48"/>
    <w:rsid w:val="009F5A87"/>
    <w:rsid w:val="009F5C88"/>
    <w:rsid w:val="009F6E02"/>
    <w:rsid w:val="009F7D46"/>
    <w:rsid w:val="00A0018F"/>
    <w:rsid w:val="00A00BCC"/>
    <w:rsid w:val="00A00EB7"/>
    <w:rsid w:val="00A014D9"/>
    <w:rsid w:val="00A02414"/>
    <w:rsid w:val="00A05136"/>
    <w:rsid w:val="00A055E8"/>
    <w:rsid w:val="00A0609B"/>
    <w:rsid w:val="00A06A83"/>
    <w:rsid w:val="00A06DEE"/>
    <w:rsid w:val="00A07D6D"/>
    <w:rsid w:val="00A07EC1"/>
    <w:rsid w:val="00A10AC8"/>
    <w:rsid w:val="00A11077"/>
    <w:rsid w:val="00A115EE"/>
    <w:rsid w:val="00A1190B"/>
    <w:rsid w:val="00A11EE7"/>
    <w:rsid w:val="00A12303"/>
    <w:rsid w:val="00A12885"/>
    <w:rsid w:val="00A1397A"/>
    <w:rsid w:val="00A13C04"/>
    <w:rsid w:val="00A13DBF"/>
    <w:rsid w:val="00A1415D"/>
    <w:rsid w:val="00A14989"/>
    <w:rsid w:val="00A14CAB"/>
    <w:rsid w:val="00A1506B"/>
    <w:rsid w:val="00A1634E"/>
    <w:rsid w:val="00A166DC"/>
    <w:rsid w:val="00A16C2D"/>
    <w:rsid w:val="00A17532"/>
    <w:rsid w:val="00A1790A"/>
    <w:rsid w:val="00A17E31"/>
    <w:rsid w:val="00A17F90"/>
    <w:rsid w:val="00A21087"/>
    <w:rsid w:val="00A215B2"/>
    <w:rsid w:val="00A218BD"/>
    <w:rsid w:val="00A21C5E"/>
    <w:rsid w:val="00A21E75"/>
    <w:rsid w:val="00A21EC8"/>
    <w:rsid w:val="00A22603"/>
    <w:rsid w:val="00A23349"/>
    <w:rsid w:val="00A233A9"/>
    <w:rsid w:val="00A23BEB"/>
    <w:rsid w:val="00A24238"/>
    <w:rsid w:val="00A24284"/>
    <w:rsid w:val="00A245A2"/>
    <w:rsid w:val="00A254CA"/>
    <w:rsid w:val="00A25595"/>
    <w:rsid w:val="00A25FD1"/>
    <w:rsid w:val="00A26481"/>
    <w:rsid w:val="00A26760"/>
    <w:rsid w:val="00A26A83"/>
    <w:rsid w:val="00A26BF0"/>
    <w:rsid w:val="00A27829"/>
    <w:rsid w:val="00A27F75"/>
    <w:rsid w:val="00A27FEB"/>
    <w:rsid w:val="00A3093D"/>
    <w:rsid w:val="00A31241"/>
    <w:rsid w:val="00A312BD"/>
    <w:rsid w:val="00A333C1"/>
    <w:rsid w:val="00A34229"/>
    <w:rsid w:val="00A34504"/>
    <w:rsid w:val="00A3497D"/>
    <w:rsid w:val="00A34DCC"/>
    <w:rsid w:val="00A35D83"/>
    <w:rsid w:val="00A362F8"/>
    <w:rsid w:val="00A36A4C"/>
    <w:rsid w:val="00A37132"/>
    <w:rsid w:val="00A37304"/>
    <w:rsid w:val="00A37427"/>
    <w:rsid w:val="00A422B9"/>
    <w:rsid w:val="00A429E8"/>
    <w:rsid w:val="00A43950"/>
    <w:rsid w:val="00A44A10"/>
    <w:rsid w:val="00A45D45"/>
    <w:rsid w:val="00A45DB1"/>
    <w:rsid w:val="00A45EC6"/>
    <w:rsid w:val="00A46309"/>
    <w:rsid w:val="00A469D5"/>
    <w:rsid w:val="00A46ADF"/>
    <w:rsid w:val="00A47013"/>
    <w:rsid w:val="00A47A1E"/>
    <w:rsid w:val="00A50160"/>
    <w:rsid w:val="00A5023A"/>
    <w:rsid w:val="00A5043F"/>
    <w:rsid w:val="00A505DE"/>
    <w:rsid w:val="00A5224E"/>
    <w:rsid w:val="00A528B3"/>
    <w:rsid w:val="00A53991"/>
    <w:rsid w:val="00A5528C"/>
    <w:rsid w:val="00A55635"/>
    <w:rsid w:val="00A55DCF"/>
    <w:rsid w:val="00A563F5"/>
    <w:rsid w:val="00A60403"/>
    <w:rsid w:val="00A60B04"/>
    <w:rsid w:val="00A61204"/>
    <w:rsid w:val="00A62004"/>
    <w:rsid w:val="00A626D3"/>
    <w:rsid w:val="00A63230"/>
    <w:rsid w:val="00A6394F"/>
    <w:rsid w:val="00A63977"/>
    <w:rsid w:val="00A63D2F"/>
    <w:rsid w:val="00A6531D"/>
    <w:rsid w:val="00A6539A"/>
    <w:rsid w:val="00A653DA"/>
    <w:rsid w:val="00A65B84"/>
    <w:rsid w:val="00A65C58"/>
    <w:rsid w:val="00A65CD6"/>
    <w:rsid w:val="00A66125"/>
    <w:rsid w:val="00A668AD"/>
    <w:rsid w:val="00A66993"/>
    <w:rsid w:val="00A67AA6"/>
    <w:rsid w:val="00A7044D"/>
    <w:rsid w:val="00A706FA"/>
    <w:rsid w:val="00A7236D"/>
    <w:rsid w:val="00A72D98"/>
    <w:rsid w:val="00A735B3"/>
    <w:rsid w:val="00A739D7"/>
    <w:rsid w:val="00A73B6A"/>
    <w:rsid w:val="00A74767"/>
    <w:rsid w:val="00A7487B"/>
    <w:rsid w:val="00A74ADF"/>
    <w:rsid w:val="00A74B26"/>
    <w:rsid w:val="00A74B57"/>
    <w:rsid w:val="00A74D46"/>
    <w:rsid w:val="00A753EB"/>
    <w:rsid w:val="00A76042"/>
    <w:rsid w:val="00A76C73"/>
    <w:rsid w:val="00A774FB"/>
    <w:rsid w:val="00A80E67"/>
    <w:rsid w:val="00A8173C"/>
    <w:rsid w:val="00A81FC2"/>
    <w:rsid w:val="00A82AC4"/>
    <w:rsid w:val="00A83E82"/>
    <w:rsid w:val="00A8420A"/>
    <w:rsid w:val="00A84E53"/>
    <w:rsid w:val="00A85B1B"/>
    <w:rsid w:val="00A86014"/>
    <w:rsid w:val="00A8615C"/>
    <w:rsid w:val="00A86AA1"/>
    <w:rsid w:val="00A86FAE"/>
    <w:rsid w:val="00A877E3"/>
    <w:rsid w:val="00A87BDF"/>
    <w:rsid w:val="00A91212"/>
    <w:rsid w:val="00A920B5"/>
    <w:rsid w:val="00A92407"/>
    <w:rsid w:val="00A93604"/>
    <w:rsid w:val="00A93E10"/>
    <w:rsid w:val="00A95C75"/>
    <w:rsid w:val="00A971DC"/>
    <w:rsid w:val="00A973E5"/>
    <w:rsid w:val="00A97B5B"/>
    <w:rsid w:val="00A97D35"/>
    <w:rsid w:val="00AA0489"/>
    <w:rsid w:val="00AA0A11"/>
    <w:rsid w:val="00AA0AE1"/>
    <w:rsid w:val="00AA16CA"/>
    <w:rsid w:val="00AA31F9"/>
    <w:rsid w:val="00AA36F2"/>
    <w:rsid w:val="00AA37B0"/>
    <w:rsid w:val="00AA4104"/>
    <w:rsid w:val="00AA5CCA"/>
    <w:rsid w:val="00AA5ED2"/>
    <w:rsid w:val="00AA6EF0"/>
    <w:rsid w:val="00AA7568"/>
    <w:rsid w:val="00AA78C9"/>
    <w:rsid w:val="00AB012E"/>
    <w:rsid w:val="00AB0456"/>
    <w:rsid w:val="00AB0D49"/>
    <w:rsid w:val="00AB0E55"/>
    <w:rsid w:val="00AB0FDB"/>
    <w:rsid w:val="00AB1F69"/>
    <w:rsid w:val="00AB235A"/>
    <w:rsid w:val="00AB2F0D"/>
    <w:rsid w:val="00AB3076"/>
    <w:rsid w:val="00AB3835"/>
    <w:rsid w:val="00AB3F90"/>
    <w:rsid w:val="00AB5193"/>
    <w:rsid w:val="00AB62CC"/>
    <w:rsid w:val="00AB71E2"/>
    <w:rsid w:val="00AB7BC9"/>
    <w:rsid w:val="00AC0A69"/>
    <w:rsid w:val="00AC15D1"/>
    <w:rsid w:val="00AC1B9B"/>
    <w:rsid w:val="00AC1E63"/>
    <w:rsid w:val="00AC36DE"/>
    <w:rsid w:val="00AC3E8F"/>
    <w:rsid w:val="00AC457F"/>
    <w:rsid w:val="00AC48F8"/>
    <w:rsid w:val="00AC4A86"/>
    <w:rsid w:val="00AC5E5D"/>
    <w:rsid w:val="00AC5EF7"/>
    <w:rsid w:val="00AC6464"/>
    <w:rsid w:val="00AC6778"/>
    <w:rsid w:val="00AC6B86"/>
    <w:rsid w:val="00AC78AA"/>
    <w:rsid w:val="00AC796F"/>
    <w:rsid w:val="00AD04BB"/>
    <w:rsid w:val="00AD04FD"/>
    <w:rsid w:val="00AD08DD"/>
    <w:rsid w:val="00AD12F7"/>
    <w:rsid w:val="00AD2107"/>
    <w:rsid w:val="00AD2367"/>
    <w:rsid w:val="00AD2A6B"/>
    <w:rsid w:val="00AD2D71"/>
    <w:rsid w:val="00AD3290"/>
    <w:rsid w:val="00AD342F"/>
    <w:rsid w:val="00AD347B"/>
    <w:rsid w:val="00AD3DC1"/>
    <w:rsid w:val="00AD50C8"/>
    <w:rsid w:val="00AD53FA"/>
    <w:rsid w:val="00AD6DB7"/>
    <w:rsid w:val="00AD7382"/>
    <w:rsid w:val="00AD74C1"/>
    <w:rsid w:val="00AE0A8C"/>
    <w:rsid w:val="00AE0B1C"/>
    <w:rsid w:val="00AE1612"/>
    <w:rsid w:val="00AE2069"/>
    <w:rsid w:val="00AE41B1"/>
    <w:rsid w:val="00AE467E"/>
    <w:rsid w:val="00AE63AC"/>
    <w:rsid w:val="00AE6EB2"/>
    <w:rsid w:val="00AE7A77"/>
    <w:rsid w:val="00AF05AD"/>
    <w:rsid w:val="00AF138B"/>
    <w:rsid w:val="00AF18B3"/>
    <w:rsid w:val="00AF25FE"/>
    <w:rsid w:val="00AF26E4"/>
    <w:rsid w:val="00AF2972"/>
    <w:rsid w:val="00AF52B4"/>
    <w:rsid w:val="00AF6A75"/>
    <w:rsid w:val="00AF6C9F"/>
    <w:rsid w:val="00AF6F63"/>
    <w:rsid w:val="00AF7535"/>
    <w:rsid w:val="00B0088D"/>
    <w:rsid w:val="00B0126A"/>
    <w:rsid w:val="00B01C77"/>
    <w:rsid w:val="00B01DCD"/>
    <w:rsid w:val="00B020E9"/>
    <w:rsid w:val="00B02D27"/>
    <w:rsid w:val="00B036D9"/>
    <w:rsid w:val="00B04D05"/>
    <w:rsid w:val="00B04DB5"/>
    <w:rsid w:val="00B0517D"/>
    <w:rsid w:val="00B0655F"/>
    <w:rsid w:val="00B0710C"/>
    <w:rsid w:val="00B073AC"/>
    <w:rsid w:val="00B07A1A"/>
    <w:rsid w:val="00B07B63"/>
    <w:rsid w:val="00B07D9D"/>
    <w:rsid w:val="00B07E31"/>
    <w:rsid w:val="00B07EC4"/>
    <w:rsid w:val="00B10221"/>
    <w:rsid w:val="00B10E45"/>
    <w:rsid w:val="00B11070"/>
    <w:rsid w:val="00B110E4"/>
    <w:rsid w:val="00B11232"/>
    <w:rsid w:val="00B11A7E"/>
    <w:rsid w:val="00B1212D"/>
    <w:rsid w:val="00B127A9"/>
    <w:rsid w:val="00B12B10"/>
    <w:rsid w:val="00B12C33"/>
    <w:rsid w:val="00B132A1"/>
    <w:rsid w:val="00B13B57"/>
    <w:rsid w:val="00B13FBC"/>
    <w:rsid w:val="00B1496A"/>
    <w:rsid w:val="00B14A3F"/>
    <w:rsid w:val="00B1529D"/>
    <w:rsid w:val="00B16953"/>
    <w:rsid w:val="00B17DDA"/>
    <w:rsid w:val="00B17E1E"/>
    <w:rsid w:val="00B20983"/>
    <w:rsid w:val="00B20E48"/>
    <w:rsid w:val="00B2150A"/>
    <w:rsid w:val="00B233B4"/>
    <w:rsid w:val="00B23B9C"/>
    <w:rsid w:val="00B23E1C"/>
    <w:rsid w:val="00B2447C"/>
    <w:rsid w:val="00B24938"/>
    <w:rsid w:val="00B2575E"/>
    <w:rsid w:val="00B25BD8"/>
    <w:rsid w:val="00B26315"/>
    <w:rsid w:val="00B26EE6"/>
    <w:rsid w:val="00B27B5E"/>
    <w:rsid w:val="00B307D7"/>
    <w:rsid w:val="00B326C6"/>
    <w:rsid w:val="00B3280D"/>
    <w:rsid w:val="00B33869"/>
    <w:rsid w:val="00B33E59"/>
    <w:rsid w:val="00B33E86"/>
    <w:rsid w:val="00B34852"/>
    <w:rsid w:val="00B34A7F"/>
    <w:rsid w:val="00B365FE"/>
    <w:rsid w:val="00B36F43"/>
    <w:rsid w:val="00B37389"/>
    <w:rsid w:val="00B373DF"/>
    <w:rsid w:val="00B37874"/>
    <w:rsid w:val="00B40842"/>
    <w:rsid w:val="00B40A78"/>
    <w:rsid w:val="00B41065"/>
    <w:rsid w:val="00B4176A"/>
    <w:rsid w:val="00B41D8A"/>
    <w:rsid w:val="00B41E55"/>
    <w:rsid w:val="00B42839"/>
    <w:rsid w:val="00B42EA2"/>
    <w:rsid w:val="00B4442B"/>
    <w:rsid w:val="00B44902"/>
    <w:rsid w:val="00B45D25"/>
    <w:rsid w:val="00B46BB4"/>
    <w:rsid w:val="00B471D4"/>
    <w:rsid w:val="00B4755D"/>
    <w:rsid w:val="00B47FCA"/>
    <w:rsid w:val="00B50165"/>
    <w:rsid w:val="00B50C42"/>
    <w:rsid w:val="00B50E72"/>
    <w:rsid w:val="00B517C7"/>
    <w:rsid w:val="00B52E1D"/>
    <w:rsid w:val="00B53065"/>
    <w:rsid w:val="00B54599"/>
    <w:rsid w:val="00B55B34"/>
    <w:rsid w:val="00B55F8C"/>
    <w:rsid w:val="00B5629B"/>
    <w:rsid w:val="00B568D9"/>
    <w:rsid w:val="00B56F1C"/>
    <w:rsid w:val="00B57807"/>
    <w:rsid w:val="00B57F0C"/>
    <w:rsid w:val="00B60507"/>
    <w:rsid w:val="00B60BA1"/>
    <w:rsid w:val="00B6183D"/>
    <w:rsid w:val="00B61F5E"/>
    <w:rsid w:val="00B6227F"/>
    <w:rsid w:val="00B62E1B"/>
    <w:rsid w:val="00B633BA"/>
    <w:rsid w:val="00B645D4"/>
    <w:rsid w:val="00B6460C"/>
    <w:rsid w:val="00B649EF"/>
    <w:rsid w:val="00B64CA7"/>
    <w:rsid w:val="00B65AA1"/>
    <w:rsid w:val="00B663D9"/>
    <w:rsid w:val="00B6716E"/>
    <w:rsid w:val="00B6776F"/>
    <w:rsid w:val="00B67885"/>
    <w:rsid w:val="00B70478"/>
    <w:rsid w:val="00B7164A"/>
    <w:rsid w:val="00B71E43"/>
    <w:rsid w:val="00B72B6A"/>
    <w:rsid w:val="00B7369B"/>
    <w:rsid w:val="00B75227"/>
    <w:rsid w:val="00B7548C"/>
    <w:rsid w:val="00B757BA"/>
    <w:rsid w:val="00B76591"/>
    <w:rsid w:val="00B7703F"/>
    <w:rsid w:val="00B7722B"/>
    <w:rsid w:val="00B802D1"/>
    <w:rsid w:val="00B813E8"/>
    <w:rsid w:val="00B815CB"/>
    <w:rsid w:val="00B823B8"/>
    <w:rsid w:val="00B829AC"/>
    <w:rsid w:val="00B82BD3"/>
    <w:rsid w:val="00B83947"/>
    <w:rsid w:val="00B839EC"/>
    <w:rsid w:val="00B83AF4"/>
    <w:rsid w:val="00B83B90"/>
    <w:rsid w:val="00B856F4"/>
    <w:rsid w:val="00B863EB"/>
    <w:rsid w:val="00B87EF5"/>
    <w:rsid w:val="00B908B9"/>
    <w:rsid w:val="00B90DF2"/>
    <w:rsid w:val="00B91D3E"/>
    <w:rsid w:val="00B92DF9"/>
    <w:rsid w:val="00B92FF2"/>
    <w:rsid w:val="00B9351A"/>
    <w:rsid w:val="00B94BC2"/>
    <w:rsid w:val="00B9573A"/>
    <w:rsid w:val="00B9581E"/>
    <w:rsid w:val="00BA02FC"/>
    <w:rsid w:val="00BA0FAE"/>
    <w:rsid w:val="00BA1428"/>
    <w:rsid w:val="00BA169C"/>
    <w:rsid w:val="00BA268B"/>
    <w:rsid w:val="00BA358F"/>
    <w:rsid w:val="00BA3F96"/>
    <w:rsid w:val="00BA5582"/>
    <w:rsid w:val="00BA5754"/>
    <w:rsid w:val="00BA5F0A"/>
    <w:rsid w:val="00BA6005"/>
    <w:rsid w:val="00BA6241"/>
    <w:rsid w:val="00BA6501"/>
    <w:rsid w:val="00BA6D2B"/>
    <w:rsid w:val="00BA6F02"/>
    <w:rsid w:val="00BA7384"/>
    <w:rsid w:val="00BA7737"/>
    <w:rsid w:val="00BA782E"/>
    <w:rsid w:val="00BB053D"/>
    <w:rsid w:val="00BB0D64"/>
    <w:rsid w:val="00BB13CD"/>
    <w:rsid w:val="00BB168E"/>
    <w:rsid w:val="00BB1C3E"/>
    <w:rsid w:val="00BB38C5"/>
    <w:rsid w:val="00BB43A0"/>
    <w:rsid w:val="00BB4A33"/>
    <w:rsid w:val="00BB5145"/>
    <w:rsid w:val="00BB5A79"/>
    <w:rsid w:val="00BB5F21"/>
    <w:rsid w:val="00BB631C"/>
    <w:rsid w:val="00BB64EC"/>
    <w:rsid w:val="00BB6728"/>
    <w:rsid w:val="00BC000A"/>
    <w:rsid w:val="00BC0232"/>
    <w:rsid w:val="00BC14E1"/>
    <w:rsid w:val="00BC1BC6"/>
    <w:rsid w:val="00BC1F82"/>
    <w:rsid w:val="00BC251F"/>
    <w:rsid w:val="00BC253C"/>
    <w:rsid w:val="00BC3116"/>
    <w:rsid w:val="00BC3384"/>
    <w:rsid w:val="00BC56E5"/>
    <w:rsid w:val="00BC5B5D"/>
    <w:rsid w:val="00BC6281"/>
    <w:rsid w:val="00BC6427"/>
    <w:rsid w:val="00BC65D6"/>
    <w:rsid w:val="00BC66C5"/>
    <w:rsid w:val="00BC6EF4"/>
    <w:rsid w:val="00BC7002"/>
    <w:rsid w:val="00BC754F"/>
    <w:rsid w:val="00BC7940"/>
    <w:rsid w:val="00BC7D75"/>
    <w:rsid w:val="00BC7E8F"/>
    <w:rsid w:val="00BC7FF3"/>
    <w:rsid w:val="00BD044C"/>
    <w:rsid w:val="00BD0E50"/>
    <w:rsid w:val="00BD1B56"/>
    <w:rsid w:val="00BD1F91"/>
    <w:rsid w:val="00BD26C7"/>
    <w:rsid w:val="00BD2DAA"/>
    <w:rsid w:val="00BD3182"/>
    <w:rsid w:val="00BD3449"/>
    <w:rsid w:val="00BD3ECA"/>
    <w:rsid w:val="00BD4087"/>
    <w:rsid w:val="00BD4734"/>
    <w:rsid w:val="00BD5804"/>
    <w:rsid w:val="00BD6632"/>
    <w:rsid w:val="00BD6F19"/>
    <w:rsid w:val="00BD6F31"/>
    <w:rsid w:val="00BD78CB"/>
    <w:rsid w:val="00BE03A7"/>
    <w:rsid w:val="00BE0D35"/>
    <w:rsid w:val="00BE0EB4"/>
    <w:rsid w:val="00BE1C74"/>
    <w:rsid w:val="00BE1F66"/>
    <w:rsid w:val="00BE2F43"/>
    <w:rsid w:val="00BE316F"/>
    <w:rsid w:val="00BE33F8"/>
    <w:rsid w:val="00BE39F0"/>
    <w:rsid w:val="00BE43C6"/>
    <w:rsid w:val="00BE530A"/>
    <w:rsid w:val="00BE5AE2"/>
    <w:rsid w:val="00BE717C"/>
    <w:rsid w:val="00BE74C6"/>
    <w:rsid w:val="00BE769B"/>
    <w:rsid w:val="00BE7C8D"/>
    <w:rsid w:val="00BE7D96"/>
    <w:rsid w:val="00BE7F54"/>
    <w:rsid w:val="00BF0416"/>
    <w:rsid w:val="00BF0A6E"/>
    <w:rsid w:val="00BF0AAC"/>
    <w:rsid w:val="00BF0E03"/>
    <w:rsid w:val="00BF1B78"/>
    <w:rsid w:val="00BF1E64"/>
    <w:rsid w:val="00BF210B"/>
    <w:rsid w:val="00BF26EE"/>
    <w:rsid w:val="00BF45D8"/>
    <w:rsid w:val="00BF4695"/>
    <w:rsid w:val="00BF4A8E"/>
    <w:rsid w:val="00BF4CAB"/>
    <w:rsid w:val="00BF52C4"/>
    <w:rsid w:val="00BF5674"/>
    <w:rsid w:val="00BF65C6"/>
    <w:rsid w:val="00BF7F8B"/>
    <w:rsid w:val="00C00DE2"/>
    <w:rsid w:val="00C011F6"/>
    <w:rsid w:val="00C01616"/>
    <w:rsid w:val="00C0161B"/>
    <w:rsid w:val="00C0195C"/>
    <w:rsid w:val="00C01DD1"/>
    <w:rsid w:val="00C02BB6"/>
    <w:rsid w:val="00C036E3"/>
    <w:rsid w:val="00C04690"/>
    <w:rsid w:val="00C04C28"/>
    <w:rsid w:val="00C053B0"/>
    <w:rsid w:val="00C056B9"/>
    <w:rsid w:val="00C05871"/>
    <w:rsid w:val="00C05A80"/>
    <w:rsid w:val="00C06FD3"/>
    <w:rsid w:val="00C07DD5"/>
    <w:rsid w:val="00C1011B"/>
    <w:rsid w:val="00C10C35"/>
    <w:rsid w:val="00C11070"/>
    <w:rsid w:val="00C11C7A"/>
    <w:rsid w:val="00C12339"/>
    <w:rsid w:val="00C12A89"/>
    <w:rsid w:val="00C13B66"/>
    <w:rsid w:val="00C14100"/>
    <w:rsid w:val="00C14812"/>
    <w:rsid w:val="00C150A5"/>
    <w:rsid w:val="00C15762"/>
    <w:rsid w:val="00C15C1B"/>
    <w:rsid w:val="00C16A1A"/>
    <w:rsid w:val="00C16FC1"/>
    <w:rsid w:val="00C21B3B"/>
    <w:rsid w:val="00C21D5B"/>
    <w:rsid w:val="00C22C9E"/>
    <w:rsid w:val="00C23244"/>
    <w:rsid w:val="00C23C69"/>
    <w:rsid w:val="00C24624"/>
    <w:rsid w:val="00C24A21"/>
    <w:rsid w:val="00C24DD8"/>
    <w:rsid w:val="00C24E12"/>
    <w:rsid w:val="00C2555F"/>
    <w:rsid w:val="00C25B62"/>
    <w:rsid w:val="00C261F0"/>
    <w:rsid w:val="00C26281"/>
    <w:rsid w:val="00C26BC8"/>
    <w:rsid w:val="00C27729"/>
    <w:rsid w:val="00C2772F"/>
    <w:rsid w:val="00C27992"/>
    <w:rsid w:val="00C279C2"/>
    <w:rsid w:val="00C30AC2"/>
    <w:rsid w:val="00C30C10"/>
    <w:rsid w:val="00C30DAA"/>
    <w:rsid w:val="00C30FAD"/>
    <w:rsid w:val="00C31DDF"/>
    <w:rsid w:val="00C31E4C"/>
    <w:rsid w:val="00C323A5"/>
    <w:rsid w:val="00C33737"/>
    <w:rsid w:val="00C3548A"/>
    <w:rsid w:val="00C356F6"/>
    <w:rsid w:val="00C366AE"/>
    <w:rsid w:val="00C3677B"/>
    <w:rsid w:val="00C37287"/>
    <w:rsid w:val="00C3765A"/>
    <w:rsid w:val="00C37BC8"/>
    <w:rsid w:val="00C40321"/>
    <w:rsid w:val="00C4145D"/>
    <w:rsid w:val="00C4237A"/>
    <w:rsid w:val="00C426AD"/>
    <w:rsid w:val="00C4280C"/>
    <w:rsid w:val="00C42C00"/>
    <w:rsid w:val="00C43089"/>
    <w:rsid w:val="00C430D2"/>
    <w:rsid w:val="00C43636"/>
    <w:rsid w:val="00C4370A"/>
    <w:rsid w:val="00C43E42"/>
    <w:rsid w:val="00C440E3"/>
    <w:rsid w:val="00C45268"/>
    <w:rsid w:val="00C45EF3"/>
    <w:rsid w:val="00C46262"/>
    <w:rsid w:val="00C46596"/>
    <w:rsid w:val="00C46660"/>
    <w:rsid w:val="00C46961"/>
    <w:rsid w:val="00C474D6"/>
    <w:rsid w:val="00C51F26"/>
    <w:rsid w:val="00C52114"/>
    <w:rsid w:val="00C53853"/>
    <w:rsid w:val="00C55CB2"/>
    <w:rsid w:val="00C55CBD"/>
    <w:rsid w:val="00C56567"/>
    <w:rsid w:val="00C570A6"/>
    <w:rsid w:val="00C57436"/>
    <w:rsid w:val="00C57817"/>
    <w:rsid w:val="00C601D7"/>
    <w:rsid w:val="00C60209"/>
    <w:rsid w:val="00C607F3"/>
    <w:rsid w:val="00C60DE2"/>
    <w:rsid w:val="00C61751"/>
    <w:rsid w:val="00C61FA7"/>
    <w:rsid w:val="00C624EF"/>
    <w:rsid w:val="00C6298F"/>
    <w:rsid w:val="00C62CA7"/>
    <w:rsid w:val="00C63739"/>
    <w:rsid w:val="00C63847"/>
    <w:rsid w:val="00C646CC"/>
    <w:rsid w:val="00C64C65"/>
    <w:rsid w:val="00C65AB9"/>
    <w:rsid w:val="00C66751"/>
    <w:rsid w:val="00C67249"/>
    <w:rsid w:val="00C711B2"/>
    <w:rsid w:val="00C71C4C"/>
    <w:rsid w:val="00C720E2"/>
    <w:rsid w:val="00C7386C"/>
    <w:rsid w:val="00C73A6A"/>
    <w:rsid w:val="00C74354"/>
    <w:rsid w:val="00C743E3"/>
    <w:rsid w:val="00C74995"/>
    <w:rsid w:val="00C74A21"/>
    <w:rsid w:val="00C74F04"/>
    <w:rsid w:val="00C75A13"/>
    <w:rsid w:val="00C76C7D"/>
    <w:rsid w:val="00C76EEB"/>
    <w:rsid w:val="00C77722"/>
    <w:rsid w:val="00C77A49"/>
    <w:rsid w:val="00C808B6"/>
    <w:rsid w:val="00C808DC"/>
    <w:rsid w:val="00C820AA"/>
    <w:rsid w:val="00C822F0"/>
    <w:rsid w:val="00C82869"/>
    <w:rsid w:val="00C82FFC"/>
    <w:rsid w:val="00C83228"/>
    <w:rsid w:val="00C83778"/>
    <w:rsid w:val="00C84057"/>
    <w:rsid w:val="00C84708"/>
    <w:rsid w:val="00C84CAC"/>
    <w:rsid w:val="00C85203"/>
    <w:rsid w:val="00C858F7"/>
    <w:rsid w:val="00C8685E"/>
    <w:rsid w:val="00C90D5C"/>
    <w:rsid w:val="00C90F1B"/>
    <w:rsid w:val="00C912EC"/>
    <w:rsid w:val="00C917B2"/>
    <w:rsid w:val="00C92DB9"/>
    <w:rsid w:val="00C93895"/>
    <w:rsid w:val="00C93A0E"/>
    <w:rsid w:val="00C9467E"/>
    <w:rsid w:val="00C9485E"/>
    <w:rsid w:val="00C9589C"/>
    <w:rsid w:val="00C959EE"/>
    <w:rsid w:val="00C9612A"/>
    <w:rsid w:val="00C9664B"/>
    <w:rsid w:val="00C96A69"/>
    <w:rsid w:val="00C975D7"/>
    <w:rsid w:val="00C97C33"/>
    <w:rsid w:val="00C97FE1"/>
    <w:rsid w:val="00CA029D"/>
    <w:rsid w:val="00CA036C"/>
    <w:rsid w:val="00CA0876"/>
    <w:rsid w:val="00CA0E3C"/>
    <w:rsid w:val="00CA1194"/>
    <w:rsid w:val="00CA11E0"/>
    <w:rsid w:val="00CA12FC"/>
    <w:rsid w:val="00CA1451"/>
    <w:rsid w:val="00CA1D0D"/>
    <w:rsid w:val="00CA3102"/>
    <w:rsid w:val="00CA3B73"/>
    <w:rsid w:val="00CA4AF3"/>
    <w:rsid w:val="00CA5934"/>
    <w:rsid w:val="00CA5DD9"/>
    <w:rsid w:val="00CA6293"/>
    <w:rsid w:val="00CA6568"/>
    <w:rsid w:val="00CB04F4"/>
    <w:rsid w:val="00CB3BD9"/>
    <w:rsid w:val="00CB44B5"/>
    <w:rsid w:val="00CB46DA"/>
    <w:rsid w:val="00CB4F74"/>
    <w:rsid w:val="00CB51B1"/>
    <w:rsid w:val="00CB55E9"/>
    <w:rsid w:val="00CB61DD"/>
    <w:rsid w:val="00CB648E"/>
    <w:rsid w:val="00CC06F0"/>
    <w:rsid w:val="00CC15A4"/>
    <w:rsid w:val="00CC1B32"/>
    <w:rsid w:val="00CC2187"/>
    <w:rsid w:val="00CC21EB"/>
    <w:rsid w:val="00CC23D6"/>
    <w:rsid w:val="00CC27D6"/>
    <w:rsid w:val="00CC29C8"/>
    <w:rsid w:val="00CC3180"/>
    <w:rsid w:val="00CC41E1"/>
    <w:rsid w:val="00CC48A4"/>
    <w:rsid w:val="00CC4972"/>
    <w:rsid w:val="00CC4C5D"/>
    <w:rsid w:val="00CC61A9"/>
    <w:rsid w:val="00CC6D83"/>
    <w:rsid w:val="00CC7AFA"/>
    <w:rsid w:val="00CC7D68"/>
    <w:rsid w:val="00CD07BB"/>
    <w:rsid w:val="00CD0D37"/>
    <w:rsid w:val="00CD13ED"/>
    <w:rsid w:val="00CD2AEB"/>
    <w:rsid w:val="00CD2E58"/>
    <w:rsid w:val="00CD2F38"/>
    <w:rsid w:val="00CD32BD"/>
    <w:rsid w:val="00CD45A1"/>
    <w:rsid w:val="00CD51E4"/>
    <w:rsid w:val="00CD5720"/>
    <w:rsid w:val="00CD77CB"/>
    <w:rsid w:val="00CD7A62"/>
    <w:rsid w:val="00CD7D3F"/>
    <w:rsid w:val="00CD7E53"/>
    <w:rsid w:val="00CE0520"/>
    <w:rsid w:val="00CE067B"/>
    <w:rsid w:val="00CE169A"/>
    <w:rsid w:val="00CE29F9"/>
    <w:rsid w:val="00CE4420"/>
    <w:rsid w:val="00CE5399"/>
    <w:rsid w:val="00CE581C"/>
    <w:rsid w:val="00CE674C"/>
    <w:rsid w:val="00CE67E7"/>
    <w:rsid w:val="00CE6951"/>
    <w:rsid w:val="00CF07C9"/>
    <w:rsid w:val="00CF13C2"/>
    <w:rsid w:val="00CF264A"/>
    <w:rsid w:val="00CF2CF6"/>
    <w:rsid w:val="00CF33FA"/>
    <w:rsid w:val="00CF4DCC"/>
    <w:rsid w:val="00CF628A"/>
    <w:rsid w:val="00CF6A6F"/>
    <w:rsid w:val="00CF6B48"/>
    <w:rsid w:val="00CF7409"/>
    <w:rsid w:val="00D00242"/>
    <w:rsid w:val="00D00644"/>
    <w:rsid w:val="00D00705"/>
    <w:rsid w:val="00D00F9C"/>
    <w:rsid w:val="00D01ACF"/>
    <w:rsid w:val="00D01D07"/>
    <w:rsid w:val="00D02250"/>
    <w:rsid w:val="00D028E6"/>
    <w:rsid w:val="00D02D27"/>
    <w:rsid w:val="00D0302E"/>
    <w:rsid w:val="00D036B3"/>
    <w:rsid w:val="00D038BF"/>
    <w:rsid w:val="00D03D03"/>
    <w:rsid w:val="00D040F4"/>
    <w:rsid w:val="00D04C0C"/>
    <w:rsid w:val="00D04E94"/>
    <w:rsid w:val="00D05E4A"/>
    <w:rsid w:val="00D05E8C"/>
    <w:rsid w:val="00D05EB5"/>
    <w:rsid w:val="00D05ED7"/>
    <w:rsid w:val="00D05F6C"/>
    <w:rsid w:val="00D0722F"/>
    <w:rsid w:val="00D1028F"/>
    <w:rsid w:val="00D105EC"/>
    <w:rsid w:val="00D10612"/>
    <w:rsid w:val="00D1229B"/>
    <w:rsid w:val="00D1232B"/>
    <w:rsid w:val="00D1246D"/>
    <w:rsid w:val="00D1271D"/>
    <w:rsid w:val="00D12917"/>
    <w:rsid w:val="00D12998"/>
    <w:rsid w:val="00D1379C"/>
    <w:rsid w:val="00D13F6C"/>
    <w:rsid w:val="00D14470"/>
    <w:rsid w:val="00D15283"/>
    <w:rsid w:val="00D155B4"/>
    <w:rsid w:val="00D159A8"/>
    <w:rsid w:val="00D15EC7"/>
    <w:rsid w:val="00D15F03"/>
    <w:rsid w:val="00D1663A"/>
    <w:rsid w:val="00D16940"/>
    <w:rsid w:val="00D16EF7"/>
    <w:rsid w:val="00D17310"/>
    <w:rsid w:val="00D17708"/>
    <w:rsid w:val="00D178B1"/>
    <w:rsid w:val="00D17AB4"/>
    <w:rsid w:val="00D204EC"/>
    <w:rsid w:val="00D22616"/>
    <w:rsid w:val="00D22619"/>
    <w:rsid w:val="00D2441F"/>
    <w:rsid w:val="00D247A9"/>
    <w:rsid w:val="00D2560D"/>
    <w:rsid w:val="00D26030"/>
    <w:rsid w:val="00D267A3"/>
    <w:rsid w:val="00D271AC"/>
    <w:rsid w:val="00D27A15"/>
    <w:rsid w:val="00D27FE5"/>
    <w:rsid w:val="00D304C2"/>
    <w:rsid w:val="00D30A72"/>
    <w:rsid w:val="00D32CBD"/>
    <w:rsid w:val="00D33052"/>
    <w:rsid w:val="00D33FDA"/>
    <w:rsid w:val="00D342CD"/>
    <w:rsid w:val="00D344CD"/>
    <w:rsid w:val="00D3487F"/>
    <w:rsid w:val="00D34AB3"/>
    <w:rsid w:val="00D34B56"/>
    <w:rsid w:val="00D3520B"/>
    <w:rsid w:val="00D366A6"/>
    <w:rsid w:val="00D369EC"/>
    <w:rsid w:val="00D36B55"/>
    <w:rsid w:val="00D36CC9"/>
    <w:rsid w:val="00D36F77"/>
    <w:rsid w:val="00D37ACE"/>
    <w:rsid w:val="00D41C23"/>
    <w:rsid w:val="00D41F82"/>
    <w:rsid w:val="00D428B2"/>
    <w:rsid w:val="00D43136"/>
    <w:rsid w:val="00D43137"/>
    <w:rsid w:val="00D432FF"/>
    <w:rsid w:val="00D4340F"/>
    <w:rsid w:val="00D44D4E"/>
    <w:rsid w:val="00D45761"/>
    <w:rsid w:val="00D461BE"/>
    <w:rsid w:val="00D461D4"/>
    <w:rsid w:val="00D463AF"/>
    <w:rsid w:val="00D46456"/>
    <w:rsid w:val="00D473BF"/>
    <w:rsid w:val="00D51327"/>
    <w:rsid w:val="00D5268B"/>
    <w:rsid w:val="00D53FFD"/>
    <w:rsid w:val="00D54450"/>
    <w:rsid w:val="00D546DD"/>
    <w:rsid w:val="00D547BB"/>
    <w:rsid w:val="00D54B92"/>
    <w:rsid w:val="00D54C35"/>
    <w:rsid w:val="00D550BA"/>
    <w:rsid w:val="00D561B9"/>
    <w:rsid w:val="00D569D7"/>
    <w:rsid w:val="00D572B8"/>
    <w:rsid w:val="00D57427"/>
    <w:rsid w:val="00D57461"/>
    <w:rsid w:val="00D574F3"/>
    <w:rsid w:val="00D57B5A"/>
    <w:rsid w:val="00D60258"/>
    <w:rsid w:val="00D6031E"/>
    <w:rsid w:val="00D607DA"/>
    <w:rsid w:val="00D60F0D"/>
    <w:rsid w:val="00D618AD"/>
    <w:rsid w:val="00D62A7C"/>
    <w:rsid w:val="00D63E04"/>
    <w:rsid w:val="00D641C7"/>
    <w:rsid w:val="00D64FE4"/>
    <w:rsid w:val="00D65186"/>
    <w:rsid w:val="00D65562"/>
    <w:rsid w:val="00D65B29"/>
    <w:rsid w:val="00D66C0B"/>
    <w:rsid w:val="00D67B02"/>
    <w:rsid w:val="00D70B37"/>
    <w:rsid w:val="00D71CA4"/>
    <w:rsid w:val="00D7227E"/>
    <w:rsid w:val="00D722B0"/>
    <w:rsid w:val="00D72F48"/>
    <w:rsid w:val="00D73B4A"/>
    <w:rsid w:val="00D73BE0"/>
    <w:rsid w:val="00D74A4B"/>
    <w:rsid w:val="00D75675"/>
    <w:rsid w:val="00D75ACD"/>
    <w:rsid w:val="00D767A1"/>
    <w:rsid w:val="00D8202D"/>
    <w:rsid w:val="00D82223"/>
    <w:rsid w:val="00D827A2"/>
    <w:rsid w:val="00D82A97"/>
    <w:rsid w:val="00D83A2A"/>
    <w:rsid w:val="00D83C47"/>
    <w:rsid w:val="00D84B12"/>
    <w:rsid w:val="00D84D5D"/>
    <w:rsid w:val="00D85068"/>
    <w:rsid w:val="00D8565F"/>
    <w:rsid w:val="00D85690"/>
    <w:rsid w:val="00D87FE8"/>
    <w:rsid w:val="00D91615"/>
    <w:rsid w:val="00D92F93"/>
    <w:rsid w:val="00D930BE"/>
    <w:rsid w:val="00D93B18"/>
    <w:rsid w:val="00D948A1"/>
    <w:rsid w:val="00D94DF4"/>
    <w:rsid w:val="00D95784"/>
    <w:rsid w:val="00D976AB"/>
    <w:rsid w:val="00D97A60"/>
    <w:rsid w:val="00D97CE9"/>
    <w:rsid w:val="00DA0095"/>
    <w:rsid w:val="00DA0B84"/>
    <w:rsid w:val="00DA12A2"/>
    <w:rsid w:val="00DA13C1"/>
    <w:rsid w:val="00DA2023"/>
    <w:rsid w:val="00DA34A0"/>
    <w:rsid w:val="00DA3581"/>
    <w:rsid w:val="00DA36A2"/>
    <w:rsid w:val="00DA3C7F"/>
    <w:rsid w:val="00DA4A8A"/>
    <w:rsid w:val="00DA52EC"/>
    <w:rsid w:val="00DA5362"/>
    <w:rsid w:val="00DA5699"/>
    <w:rsid w:val="00DA5ABC"/>
    <w:rsid w:val="00DA5DC7"/>
    <w:rsid w:val="00DA6665"/>
    <w:rsid w:val="00DA6BD5"/>
    <w:rsid w:val="00DB063A"/>
    <w:rsid w:val="00DB0E2E"/>
    <w:rsid w:val="00DB169A"/>
    <w:rsid w:val="00DB2970"/>
    <w:rsid w:val="00DB35B6"/>
    <w:rsid w:val="00DB3927"/>
    <w:rsid w:val="00DB4567"/>
    <w:rsid w:val="00DB4BE5"/>
    <w:rsid w:val="00DB4EFD"/>
    <w:rsid w:val="00DB4F4B"/>
    <w:rsid w:val="00DB63C8"/>
    <w:rsid w:val="00DB6BE2"/>
    <w:rsid w:val="00DB6D57"/>
    <w:rsid w:val="00DC0330"/>
    <w:rsid w:val="00DC08F4"/>
    <w:rsid w:val="00DC13E5"/>
    <w:rsid w:val="00DC250E"/>
    <w:rsid w:val="00DC2DA5"/>
    <w:rsid w:val="00DC2E28"/>
    <w:rsid w:val="00DC3412"/>
    <w:rsid w:val="00DC369F"/>
    <w:rsid w:val="00DC3B34"/>
    <w:rsid w:val="00DC4495"/>
    <w:rsid w:val="00DC4EAE"/>
    <w:rsid w:val="00DC682E"/>
    <w:rsid w:val="00DC6933"/>
    <w:rsid w:val="00DC73DF"/>
    <w:rsid w:val="00DC779F"/>
    <w:rsid w:val="00DC79CA"/>
    <w:rsid w:val="00DC7A05"/>
    <w:rsid w:val="00DD0B19"/>
    <w:rsid w:val="00DD0B95"/>
    <w:rsid w:val="00DD1A8D"/>
    <w:rsid w:val="00DD2E75"/>
    <w:rsid w:val="00DD2FA8"/>
    <w:rsid w:val="00DD3100"/>
    <w:rsid w:val="00DD3381"/>
    <w:rsid w:val="00DD362A"/>
    <w:rsid w:val="00DD377D"/>
    <w:rsid w:val="00DD3C85"/>
    <w:rsid w:val="00DD403A"/>
    <w:rsid w:val="00DD472B"/>
    <w:rsid w:val="00DD5350"/>
    <w:rsid w:val="00DD5DAC"/>
    <w:rsid w:val="00DD6ADD"/>
    <w:rsid w:val="00DD6F80"/>
    <w:rsid w:val="00DD7679"/>
    <w:rsid w:val="00DE0B6A"/>
    <w:rsid w:val="00DE0FC1"/>
    <w:rsid w:val="00DE3EEF"/>
    <w:rsid w:val="00DE4AA4"/>
    <w:rsid w:val="00DE4FD4"/>
    <w:rsid w:val="00DE5019"/>
    <w:rsid w:val="00DE5506"/>
    <w:rsid w:val="00DE559D"/>
    <w:rsid w:val="00DE55E6"/>
    <w:rsid w:val="00DE562F"/>
    <w:rsid w:val="00DE5A8A"/>
    <w:rsid w:val="00DE77D6"/>
    <w:rsid w:val="00DE7D61"/>
    <w:rsid w:val="00DF0706"/>
    <w:rsid w:val="00DF0AAE"/>
    <w:rsid w:val="00DF10AB"/>
    <w:rsid w:val="00DF17FF"/>
    <w:rsid w:val="00DF1FAE"/>
    <w:rsid w:val="00DF2177"/>
    <w:rsid w:val="00DF2493"/>
    <w:rsid w:val="00DF252A"/>
    <w:rsid w:val="00DF37CA"/>
    <w:rsid w:val="00DF3978"/>
    <w:rsid w:val="00DF3A7B"/>
    <w:rsid w:val="00DF3BF6"/>
    <w:rsid w:val="00DF4A08"/>
    <w:rsid w:val="00DF4F5B"/>
    <w:rsid w:val="00DF5401"/>
    <w:rsid w:val="00DF54DB"/>
    <w:rsid w:val="00DF57AC"/>
    <w:rsid w:val="00DF5A2E"/>
    <w:rsid w:val="00DF5FD1"/>
    <w:rsid w:val="00DF6648"/>
    <w:rsid w:val="00DF6EC4"/>
    <w:rsid w:val="00DF7DBD"/>
    <w:rsid w:val="00E0034C"/>
    <w:rsid w:val="00E00690"/>
    <w:rsid w:val="00E01213"/>
    <w:rsid w:val="00E01C40"/>
    <w:rsid w:val="00E029E0"/>
    <w:rsid w:val="00E02A32"/>
    <w:rsid w:val="00E02A98"/>
    <w:rsid w:val="00E02BEF"/>
    <w:rsid w:val="00E02E54"/>
    <w:rsid w:val="00E03840"/>
    <w:rsid w:val="00E04D15"/>
    <w:rsid w:val="00E04FE0"/>
    <w:rsid w:val="00E06EF1"/>
    <w:rsid w:val="00E0720F"/>
    <w:rsid w:val="00E07AF0"/>
    <w:rsid w:val="00E113DE"/>
    <w:rsid w:val="00E11407"/>
    <w:rsid w:val="00E114AB"/>
    <w:rsid w:val="00E114CE"/>
    <w:rsid w:val="00E11AC7"/>
    <w:rsid w:val="00E11AD4"/>
    <w:rsid w:val="00E122DA"/>
    <w:rsid w:val="00E128BF"/>
    <w:rsid w:val="00E12FAC"/>
    <w:rsid w:val="00E13F31"/>
    <w:rsid w:val="00E14856"/>
    <w:rsid w:val="00E1535E"/>
    <w:rsid w:val="00E153F2"/>
    <w:rsid w:val="00E157BA"/>
    <w:rsid w:val="00E15A2D"/>
    <w:rsid w:val="00E1612F"/>
    <w:rsid w:val="00E16A4C"/>
    <w:rsid w:val="00E16E38"/>
    <w:rsid w:val="00E17B2F"/>
    <w:rsid w:val="00E210A9"/>
    <w:rsid w:val="00E2113C"/>
    <w:rsid w:val="00E22302"/>
    <w:rsid w:val="00E239B9"/>
    <w:rsid w:val="00E23ADE"/>
    <w:rsid w:val="00E23F00"/>
    <w:rsid w:val="00E23FFC"/>
    <w:rsid w:val="00E24A74"/>
    <w:rsid w:val="00E24B4E"/>
    <w:rsid w:val="00E25233"/>
    <w:rsid w:val="00E26418"/>
    <w:rsid w:val="00E2720F"/>
    <w:rsid w:val="00E27558"/>
    <w:rsid w:val="00E27937"/>
    <w:rsid w:val="00E27AB8"/>
    <w:rsid w:val="00E30AAD"/>
    <w:rsid w:val="00E30F8D"/>
    <w:rsid w:val="00E3156E"/>
    <w:rsid w:val="00E31C38"/>
    <w:rsid w:val="00E335AC"/>
    <w:rsid w:val="00E343F0"/>
    <w:rsid w:val="00E348CF"/>
    <w:rsid w:val="00E35214"/>
    <w:rsid w:val="00E36241"/>
    <w:rsid w:val="00E370BB"/>
    <w:rsid w:val="00E37112"/>
    <w:rsid w:val="00E379FB"/>
    <w:rsid w:val="00E37A88"/>
    <w:rsid w:val="00E40AF1"/>
    <w:rsid w:val="00E41595"/>
    <w:rsid w:val="00E41D40"/>
    <w:rsid w:val="00E42276"/>
    <w:rsid w:val="00E4294A"/>
    <w:rsid w:val="00E44931"/>
    <w:rsid w:val="00E45A52"/>
    <w:rsid w:val="00E45B0A"/>
    <w:rsid w:val="00E45CBA"/>
    <w:rsid w:val="00E46A6C"/>
    <w:rsid w:val="00E46B93"/>
    <w:rsid w:val="00E47A3B"/>
    <w:rsid w:val="00E50D45"/>
    <w:rsid w:val="00E51065"/>
    <w:rsid w:val="00E5234A"/>
    <w:rsid w:val="00E5247E"/>
    <w:rsid w:val="00E52B01"/>
    <w:rsid w:val="00E5314E"/>
    <w:rsid w:val="00E5346A"/>
    <w:rsid w:val="00E53861"/>
    <w:rsid w:val="00E53B0B"/>
    <w:rsid w:val="00E5407A"/>
    <w:rsid w:val="00E54371"/>
    <w:rsid w:val="00E544A7"/>
    <w:rsid w:val="00E54D6E"/>
    <w:rsid w:val="00E54DE5"/>
    <w:rsid w:val="00E5514E"/>
    <w:rsid w:val="00E558BE"/>
    <w:rsid w:val="00E55E60"/>
    <w:rsid w:val="00E56BF4"/>
    <w:rsid w:val="00E57087"/>
    <w:rsid w:val="00E57134"/>
    <w:rsid w:val="00E57C99"/>
    <w:rsid w:val="00E601A4"/>
    <w:rsid w:val="00E60937"/>
    <w:rsid w:val="00E60D4F"/>
    <w:rsid w:val="00E610B4"/>
    <w:rsid w:val="00E6162E"/>
    <w:rsid w:val="00E6191A"/>
    <w:rsid w:val="00E62833"/>
    <w:rsid w:val="00E62BF7"/>
    <w:rsid w:val="00E64800"/>
    <w:rsid w:val="00E655AD"/>
    <w:rsid w:val="00E65CE2"/>
    <w:rsid w:val="00E66239"/>
    <w:rsid w:val="00E67FF3"/>
    <w:rsid w:val="00E710B1"/>
    <w:rsid w:val="00E71119"/>
    <w:rsid w:val="00E729BF"/>
    <w:rsid w:val="00E73479"/>
    <w:rsid w:val="00E73792"/>
    <w:rsid w:val="00E74135"/>
    <w:rsid w:val="00E7455C"/>
    <w:rsid w:val="00E7477D"/>
    <w:rsid w:val="00E749E5"/>
    <w:rsid w:val="00E74F72"/>
    <w:rsid w:val="00E76566"/>
    <w:rsid w:val="00E76A4D"/>
    <w:rsid w:val="00E76A99"/>
    <w:rsid w:val="00E77344"/>
    <w:rsid w:val="00E7747C"/>
    <w:rsid w:val="00E778C4"/>
    <w:rsid w:val="00E77C22"/>
    <w:rsid w:val="00E806C2"/>
    <w:rsid w:val="00E8134D"/>
    <w:rsid w:val="00E81665"/>
    <w:rsid w:val="00E82020"/>
    <w:rsid w:val="00E838B0"/>
    <w:rsid w:val="00E83D5E"/>
    <w:rsid w:val="00E83E08"/>
    <w:rsid w:val="00E84F42"/>
    <w:rsid w:val="00E85580"/>
    <w:rsid w:val="00E8593F"/>
    <w:rsid w:val="00E85A82"/>
    <w:rsid w:val="00E867D2"/>
    <w:rsid w:val="00E87450"/>
    <w:rsid w:val="00E874B4"/>
    <w:rsid w:val="00E87572"/>
    <w:rsid w:val="00E91752"/>
    <w:rsid w:val="00E92433"/>
    <w:rsid w:val="00E9308E"/>
    <w:rsid w:val="00E95A2F"/>
    <w:rsid w:val="00E95BEE"/>
    <w:rsid w:val="00E96369"/>
    <w:rsid w:val="00EA1646"/>
    <w:rsid w:val="00EA1960"/>
    <w:rsid w:val="00EA35F5"/>
    <w:rsid w:val="00EA3936"/>
    <w:rsid w:val="00EA3CD5"/>
    <w:rsid w:val="00EA3FBA"/>
    <w:rsid w:val="00EA41C4"/>
    <w:rsid w:val="00EA466E"/>
    <w:rsid w:val="00EA4E04"/>
    <w:rsid w:val="00EA4E61"/>
    <w:rsid w:val="00EA4FA1"/>
    <w:rsid w:val="00EA6338"/>
    <w:rsid w:val="00EA6416"/>
    <w:rsid w:val="00EA6A79"/>
    <w:rsid w:val="00EA739D"/>
    <w:rsid w:val="00EA7E60"/>
    <w:rsid w:val="00EB00D2"/>
    <w:rsid w:val="00EB1FD9"/>
    <w:rsid w:val="00EB2BA0"/>
    <w:rsid w:val="00EB36AE"/>
    <w:rsid w:val="00EB3B32"/>
    <w:rsid w:val="00EB3CDC"/>
    <w:rsid w:val="00EB4686"/>
    <w:rsid w:val="00EB4713"/>
    <w:rsid w:val="00EB487F"/>
    <w:rsid w:val="00EB50D1"/>
    <w:rsid w:val="00EC019A"/>
    <w:rsid w:val="00EC06F9"/>
    <w:rsid w:val="00EC12AB"/>
    <w:rsid w:val="00EC225B"/>
    <w:rsid w:val="00EC2E91"/>
    <w:rsid w:val="00EC3AEF"/>
    <w:rsid w:val="00EC63DB"/>
    <w:rsid w:val="00EC71B3"/>
    <w:rsid w:val="00ED06EC"/>
    <w:rsid w:val="00ED0D39"/>
    <w:rsid w:val="00ED1B3E"/>
    <w:rsid w:val="00ED28A4"/>
    <w:rsid w:val="00ED3339"/>
    <w:rsid w:val="00ED3553"/>
    <w:rsid w:val="00ED3724"/>
    <w:rsid w:val="00ED3D89"/>
    <w:rsid w:val="00ED4431"/>
    <w:rsid w:val="00ED471F"/>
    <w:rsid w:val="00ED47A2"/>
    <w:rsid w:val="00ED5AA4"/>
    <w:rsid w:val="00ED6252"/>
    <w:rsid w:val="00ED642E"/>
    <w:rsid w:val="00ED65E6"/>
    <w:rsid w:val="00ED7F77"/>
    <w:rsid w:val="00ED7F97"/>
    <w:rsid w:val="00EE006F"/>
    <w:rsid w:val="00EE018D"/>
    <w:rsid w:val="00EE0488"/>
    <w:rsid w:val="00EE077E"/>
    <w:rsid w:val="00EE0B68"/>
    <w:rsid w:val="00EE158F"/>
    <w:rsid w:val="00EE20E7"/>
    <w:rsid w:val="00EE2843"/>
    <w:rsid w:val="00EE337E"/>
    <w:rsid w:val="00EE3434"/>
    <w:rsid w:val="00EE4B52"/>
    <w:rsid w:val="00EE50D8"/>
    <w:rsid w:val="00EE5198"/>
    <w:rsid w:val="00EE55F0"/>
    <w:rsid w:val="00EE5D87"/>
    <w:rsid w:val="00EF06C5"/>
    <w:rsid w:val="00EF1492"/>
    <w:rsid w:val="00EF1791"/>
    <w:rsid w:val="00EF1877"/>
    <w:rsid w:val="00EF225E"/>
    <w:rsid w:val="00EF264A"/>
    <w:rsid w:val="00EF2987"/>
    <w:rsid w:val="00EF2C29"/>
    <w:rsid w:val="00EF2C5F"/>
    <w:rsid w:val="00EF4169"/>
    <w:rsid w:val="00EF5A07"/>
    <w:rsid w:val="00EF6F0E"/>
    <w:rsid w:val="00EF764C"/>
    <w:rsid w:val="00F0044D"/>
    <w:rsid w:val="00F01B81"/>
    <w:rsid w:val="00F02532"/>
    <w:rsid w:val="00F027F5"/>
    <w:rsid w:val="00F04F80"/>
    <w:rsid w:val="00F057A1"/>
    <w:rsid w:val="00F07375"/>
    <w:rsid w:val="00F10974"/>
    <w:rsid w:val="00F10D51"/>
    <w:rsid w:val="00F10E09"/>
    <w:rsid w:val="00F10ED4"/>
    <w:rsid w:val="00F11572"/>
    <w:rsid w:val="00F120C8"/>
    <w:rsid w:val="00F127B6"/>
    <w:rsid w:val="00F13A6A"/>
    <w:rsid w:val="00F14797"/>
    <w:rsid w:val="00F14C15"/>
    <w:rsid w:val="00F15DA3"/>
    <w:rsid w:val="00F16E72"/>
    <w:rsid w:val="00F16F16"/>
    <w:rsid w:val="00F20963"/>
    <w:rsid w:val="00F2099C"/>
    <w:rsid w:val="00F21505"/>
    <w:rsid w:val="00F22CC1"/>
    <w:rsid w:val="00F22FED"/>
    <w:rsid w:val="00F23B98"/>
    <w:rsid w:val="00F23D5C"/>
    <w:rsid w:val="00F25B23"/>
    <w:rsid w:val="00F2667C"/>
    <w:rsid w:val="00F26A66"/>
    <w:rsid w:val="00F274D0"/>
    <w:rsid w:val="00F276EF"/>
    <w:rsid w:val="00F276F7"/>
    <w:rsid w:val="00F3065B"/>
    <w:rsid w:val="00F3072E"/>
    <w:rsid w:val="00F30902"/>
    <w:rsid w:val="00F31810"/>
    <w:rsid w:val="00F327CC"/>
    <w:rsid w:val="00F33377"/>
    <w:rsid w:val="00F33875"/>
    <w:rsid w:val="00F338C2"/>
    <w:rsid w:val="00F34214"/>
    <w:rsid w:val="00F342DE"/>
    <w:rsid w:val="00F35935"/>
    <w:rsid w:val="00F37147"/>
    <w:rsid w:val="00F3787C"/>
    <w:rsid w:val="00F37FAF"/>
    <w:rsid w:val="00F40D56"/>
    <w:rsid w:val="00F423EA"/>
    <w:rsid w:val="00F42547"/>
    <w:rsid w:val="00F4331A"/>
    <w:rsid w:val="00F43751"/>
    <w:rsid w:val="00F43994"/>
    <w:rsid w:val="00F450B0"/>
    <w:rsid w:val="00F452C8"/>
    <w:rsid w:val="00F457E4"/>
    <w:rsid w:val="00F45F1E"/>
    <w:rsid w:val="00F46C1D"/>
    <w:rsid w:val="00F46F38"/>
    <w:rsid w:val="00F4731A"/>
    <w:rsid w:val="00F47379"/>
    <w:rsid w:val="00F476A9"/>
    <w:rsid w:val="00F47C8A"/>
    <w:rsid w:val="00F50659"/>
    <w:rsid w:val="00F50B19"/>
    <w:rsid w:val="00F51070"/>
    <w:rsid w:val="00F519EE"/>
    <w:rsid w:val="00F51EEA"/>
    <w:rsid w:val="00F529C4"/>
    <w:rsid w:val="00F542EA"/>
    <w:rsid w:val="00F54890"/>
    <w:rsid w:val="00F5500A"/>
    <w:rsid w:val="00F554C1"/>
    <w:rsid w:val="00F55AE3"/>
    <w:rsid w:val="00F60808"/>
    <w:rsid w:val="00F60BF0"/>
    <w:rsid w:val="00F616F3"/>
    <w:rsid w:val="00F61C8F"/>
    <w:rsid w:val="00F61EB2"/>
    <w:rsid w:val="00F6206A"/>
    <w:rsid w:val="00F62494"/>
    <w:rsid w:val="00F63745"/>
    <w:rsid w:val="00F6495B"/>
    <w:rsid w:val="00F64C5F"/>
    <w:rsid w:val="00F6529E"/>
    <w:rsid w:val="00F6540E"/>
    <w:rsid w:val="00F65A2C"/>
    <w:rsid w:val="00F67111"/>
    <w:rsid w:val="00F704A4"/>
    <w:rsid w:val="00F70610"/>
    <w:rsid w:val="00F70E34"/>
    <w:rsid w:val="00F728DF"/>
    <w:rsid w:val="00F72A8C"/>
    <w:rsid w:val="00F72B7A"/>
    <w:rsid w:val="00F73654"/>
    <w:rsid w:val="00F74504"/>
    <w:rsid w:val="00F7502E"/>
    <w:rsid w:val="00F755C6"/>
    <w:rsid w:val="00F772D3"/>
    <w:rsid w:val="00F77311"/>
    <w:rsid w:val="00F77567"/>
    <w:rsid w:val="00F77C5A"/>
    <w:rsid w:val="00F77DFD"/>
    <w:rsid w:val="00F80092"/>
    <w:rsid w:val="00F815BE"/>
    <w:rsid w:val="00F81920"/>
    <w:rsid w:val="00F838B8"/>
    <w:rsid w:val="00F85439"/>
    <w:rsid w:val="00F856E9"/>
    <w:rsid w:val="00F85DDC"/>
    <w:rsid w:val="00F86AAA"/>
    <w:rsid w:val="00F86E40"/>
    <w:rsid w:val="00F86EB0"/>
    <w:rsid w:val="00F87B65"/>
    <w:rsid w:val="00F9136C"/>
    <w:rsid w:val="00F9162E"/>
    <w:rsid w:val="00F91A69"/>
    <w:rsid w:val="00F91D31"/>
    <w:rsid w:val="00F92B2B"/>
    <w:rsid w:val="00F935ED"/>
    <w:rsid w:val="00F94E64"/>
    <w:rsid w:val="00F9510C"/>
    <w:rsid w:val="00F969F2"/>
    <w:rsid w:val="00F96A00"/>
    <w:rsid w:val="00F96A39"/>
    <w:rsid w:val="00F9703A"/>
    <w:rsid w:val="00F976ED"/>
    <w:rsid w:val="00FA0AF1"/>
    <w:rsid w:val="00FA0C56"/>
    <w:rsid w:val="00FA116F"/>
    <w:rsid w:val="00FA124B"/>
    <w:rsid w:val="00FA273D"/>
    <w:rsid w:val="00FA2896"/>
    <w:rsid w:val="00FA39DE"/>
    <w:rsid w:val="00FA3E38"/>
    <w:rsid w:val="00FA4B68"/>
    <w:rsid w:val="00FA4F41"/>
    <w:rsid w:val="00FA64F1"/>
    <w:rsid w:val="00FA6D92"/>
    <w:rsid w:val="00FA7006"/>
    <w:rsid w:val="00FA737D"/>
    <w:rsid w:val="00FA7E52"/>
    <w:rsid w:val="00FA7FE4"/>
    <w:rsid w:val="00FB0873"/>
    <w:rsid w:val="00FB1422"/>
    <w:rsid w:val="00FB1607"/>
    <w:rsid w:val="00FB2263"/>
    <w:rsid w:val="00FB297E"/>
    <w:rsid w:val="00FB2A77"/>
    <w:rsid w:val="00FB2DA6"/>
    <w:rsid w:val="00FB306A"/>
    <w:rsid w:val="00FB3386"/>
    <w:rsid w:val="00FB3B7A"/>
    <w:rsid w:val="00FB3D64"/>
    <w:rsid w:val="00FB45A8"/>
    <w:rsid w:val="00FB48F0"/>
    <w:rsid w:val="00FB5281"/>
    <w:rsid w:val="00FB5778"/>
    <w:rsid w:val="00FB5A40"/>
    <w:rsid w:val="00FB6324"/>
    <w:rsid w:val="00FB7EA5"/>
    <w:rsid w:val="00FC06D5"/>
    <w:rsid w:val="00FC14C4"/>
    <w:rsid w:val="00FC18CE"/>
    <w:rsid w:val="00FC1F9F"/>
    <w:rsid w:val="00FC209D"/>
    <w:rsid w:val="00FC2E17"/>
    <w:rsid w:val="00FC2F12"/>
    <w:rsid w:val="00FC3026"/>
    <w:rsid w:val="00FC464A"/>
    <w:rsid w:val="00FC4EEE"/>
    <w:rsid w:val="00FC547D"/>
    <w:rsid w:val="00FC5851"/>
    <w:rsid w:val="00FC6639"/>
    <w:rsid w:val="00FC66B6"/>
    <w:rsid w:val="00FC695A"/>
    <w:rsid w:val="00FC6B80"/>
    <w:rsid w:val="00FC6C14"/>
    <w:rsid w:val="00FD0137"/>
    <w:rsid w:val="00FD0A29"/>
    <w:rsid w:val="00FD0EFB"/>
    <w:rsid w:val="00FD1FFE"/>
    <w:rsid w:val="00FD32E0"/>
    <w:rsid w:val="00FD340D"/>
    <w:rsid w:val="00FD3D63"/>
    <w:rsid w:val="00FD40D2"/>
    <w:rsid w:val="00FD4119"/>
    <w:rsid w:val="00FD51C8"/>
    <w:rsid w:val="00FD5380"/>
    <w:rsid w:val="00FD53A6"/>
    <w:rsid w:val="00FD53D8"/>
    <w:rsid w:val="00FD56C4"/>
    <w:rsid w:val="00FD6574"/>
    <w:rsid w:val="00FD659D"/>
    <w:rsid w:val="00FD75D0"/>
    <w:rsid w:val="00FD7EFD"/>
    <w:rsid w:val="00FE0064"/>
    <w:rsid w:val="00FE009D"/>
    <w:rsid w:val="00FE340B"/>
    <w:rsid w:val="00FE3666"/>
    <w:rsid w:val="00FE3DF5"/>
    <w:rsid w:val="00FE4009"/>
    <w:rsid w:val="00FE461C"/>
    <w:rsid w:val="00FE52CD"/>
    <w:rsid w:val="00FE5803"/>
    <w:rsid w:val="00FE5F69"/>
    <w:rsid w:val="00FE6609"/>
    <w:rsid w:val="00FE77EC"/>
    <w:rsid w:val="00FE78A6"/>
    <w:rsid w:val="00FE7B9F"/>
    <w:rsid w:val="00FE7CC8"/>
    <w:rsid w:val="00FF1DDF"/>
    <w:rsid w:val="00FF1E31"/>
    <w:rsid w:val="00FF2264"/>
    <w:rsid w:val="00FF2693"/>
    <w:rsid w:val="00FF2C59"/>
    <w:rsid w:val="00FF355B"/>
    <w:rsid w:val="00FF3EA0"/>
    <w:rsid w:val="00FF438B"/>
    <w:rsid w:val="00FF464C"/>
    <w:rsid w:val="00FF4876"/>
    <w:rsid w:val="00FF5085"/>
    <w:rsid w:val="00FF53CB"/>
    <w:rsid w:val="00FF53EE"/>
    <w:rsid w:val="00FF67D0"/>
    <w:rsid w:val="00FF78B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AD67A3"/>
  <w15:docId w15:val="{3F7F3019-DC43-4856-8983-A0C9681B1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n-US" w:eastAsia="en-US" w:bidi="ar-SA"/>
      </w:rPr>
    </w:rPrDefault>
    <w:pPrDefault>
      <w:pPr>
        <w:spacing w:after="120"/>
        <w:ind w:firstLine="720"/>
      </w:pPr>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DF9"/>
    <w:rPr>
      <w:rFonts w:ascii="Times New Roman" w:eastAsia="MS Mincho" w:hAnsi="Times New Roman" w:cs="Times New Roman"/>
      <w:sz w:val="24"/>
      <w:szCs w:val="24"/>
      <w:lang w:eastAsia="ja-JP"/>
    </w:rPr>
  </w:style>
  <w:style w:type="paragraph" w:styleId="Heading2">
    <w:name w:val="heading 2"/>
    <w:basedOn w:val="Normal"/>
    <w:next w:val="Normal"/>
    <w:link w:val="Heading2Char"/>
    <w:rsid w:val="00DF070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A218BD"/>
    <w:rPr>
      <w:sz w:val="20"/>
      <w:szCs w:val="20"/>
    </w:rPr>
  </w:style>
  <w:style w:type="character" w:customStyle="1" w:styleId="FootnoteTextChar">
    <w:name w:val="Footnote Text Char"/>
    <w:basedOn w:val="DefaultParagraphFont"/>
    <w:link w:val="FootnoteText"/>
    <w:uiPriority w:val="99"/>
    <w:semiHidden/>
    <w:rsid w:val="00A218BD"/>
    <w:rPr>
      <w:rFonts w:ascii="Times New Roman" w:eastAsia="MS Mincho" w:hAnsi="Times New Roman" w:cs="Times New Roman"/>
      <w:sz w:val="20"/>
      <w:szCs w:val="20"/>
      <w:lang w:eastAsia="ja-JP"/>
    </w:rPr>
  </w:style>
  <w:style w:type="character" w:styleId="FootnoteReference">
    <w:name w:val="footnote reference"/>
    <w:basedOn w:val="DefaultParagraphFont"/>
    <w:uiPriority w:val="99"/>
    <w:semiHidden/>
    <w:rsid w:val="00A218BD"/>
    <w:rPr>
      <w:vertAlign w:val="superscript"/>
    </w:rPr>
  </w:style>
  <w:style w:type="paragraph" w:styleId="Header">
    <w:name w:val="header"/>
    <w:basedOn w:val="Normal"/>
    <w:link w:val="HeaderChar"/>
    <w:uiPriority w:val="99"/>
    <w:unhideWhenUsed/>
    <w:rsid w:val="00F815BE"/>
    <w:pPr>
      <w:tabs>
        <w:tab w:val="center" w:pos="4680"/>
        <w:tab w:val="right" w:pos="9360"/>
      </w:tabs>
    </w:pPr>
  </w:style>
  <w:style w:type="character" w:customStyle="1" w:styleId="HeaderChar">
    <w:name w:val="Header Char"/>
    <w:basedOn w:val="DefaultParagraphFont"/>
    <w:link w:val="Header"/>
    <w:uiPriority w:val="99"/>
    <w:rsid w:val="00F815BE"/>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F815BE"/>
    <w:pPr>
      <w:tabs>
        <w:tab w:val="center" w:pos="4680"/>
        <w:tab w:val="right" w:pos="9360"/>
      </w:tabs>
    </w:pPr>
  </w:style>
  <w:style w:type="character" w:customStyle="1" w:styleId="FooterChar">
    <w:name w:val="Footer Char"/>
    <w:basedOn w:val="DefaultParagraphFont"/>
    <w:link w:val="Footer"/>
    <w:uiPriority w:val="99"/>
    <w:rsid w:val="00F815BE"/>
    <w:rPr>
      <w:rFonts w:ascii="Times New Roman" w:eastAsia="MS Mincho" w:hAnsi="Times New Roman" w:cs="Times New Roman"/>
      <w:sz w:val="24"/>
      <w:szCs w:val="24"/>
      <w:lang w:eastAsia="ja-JP"/>
    </w:rPr>
  </w:style>
  <w:style w:type="paragraph" w:styleId="EndnoteText">
    <w:name w:val="endnote text"/>
    <w:basedOn w:val="Normal"/>
    <w:link w:val="EndnoteTextChar"/>
    <w:uiPriority w:val="99"/>
    <w:semiHidden/>
    <w:unhideWhenUsed/>
    <w:rsid w:val="00BB168E"/>
    <w:rPr>
      <w:sz w:val="20"/>
      <w:szCs w:val="20"/>
    </w:rPr>
  </w:style>
  <w:style w:type="character" w:customStyle="1" w:styleId="EndnoteTextChar">
    <w:name w:val="Endnote Text Char"/>
    <w:basedOn w:val="DefaultParagraphFont"/>
    <w:link w:val="EndnoteText"/>
    <w:uiPriority w:val="99"/>
    <w:semiHidden/>
    <w:rsid w:val="00BB168E"/>
    <w:rPr>
      <w:rFonts w:ascii="Times New Roman" w:eastAsia="MS Mincho" w:hAnsi="Times New Roman" w:cs="Times New Roman"/>
      <w:sz w:val="20"/>
      <w:szCs w:val="20"/>
      <w:lang w:eastAsia="ja-JP"/>
    </w:rPr>
  </w:style>
  <w:style w:type="character" w:styleId="EndnoteReference">
    <w:name w:val="endnote reference"/>
    <w:basedOn w:val="DefaultParagraphFont"/>
    <w:uiPriority w:val="99"/>
    <w:semiHidden/>
    <w:unhideWhenUsed/>
    <w:rsid w:val="00BB168E"/>
    <w:rPr>
      <w:vertAlign w:val="superscript"/>
    </w:rPr>
  </w:style>
  <w:style w:type="paragraph" w:styleId="ListParagraph">
    <w:name w:val="List Paragraph"/>
    <w:basedOn w:val="Normal"/>
    <w:uiPriority w:val="34"/>
    <w:qFormat/>
    <w:rsid w:val="004C0750"/>
    <w:pPr>
      <w:ind w:left="720"/>
      <w:contextualSpacing/>
    </w:pPr>
  </w:style>
  <w:style w:type="character" w:styleId="Strong">
    <w:name w:val="Strong"/>
    <w:basedOn w:val="DefaultParagraphFont"/>
    <w:qFormat/>
    <w:rsid w:val="00AC796F"/>
    <w:rPr>
      <w:b/>
      <w:bCs/>
    </w:rPr>
  </w:style>
  <w:style w:type="paragraph" w:styleId="BalloonText">
    <w:name w:val="Balloon Text"/>
    <w:basedOn w:val="Normal"/>
    <w:link w:val="BalloonTextChar"/>
    <w:uiPriority w:val="99"/>
    <w:semiHidden/>
    <w:unhideWhenUsed/>
    <w:rsid w:val="00E84F42"/>
    <w:rPr>
      <w:rFonts w:ascii="Tahoma" w:hAnsi="Tahoma" w:cs="Tahoma"/>
      <w:sz w:val="16"/>
      <w:szCs w:val="16"/>
    </w:rPr>
  </w:style>
  <w:style w:type="character" w:customStyle="1" w:styleId="BalloonTextChar">
    <w:name w:val="Balloon Text Char"/>
    <w:basedOn w:val="DefaultParagraphFont"/>
    <w:link w:val="BalloonText"/>
    <w:uiPriority w:val="99"/>
    <w:semiHidden/>
    <w:rsid w:val="00E84F42"/>
    <w:rPr>
      <w:rFonts w:ascii="Tahoma" w:eastAsia="MS Mincho" w:hAnsi="Tahoma" w:cs="Tahoma"/>
      <w:sz w:val="16"/>
      <w:szCs w:val="16"/>
      <w:lang w:eastAsia="ja-JP"/>
    </w:rPr>
  </w:style>
  <w:style w:type="character" w:styleId="CommentReference">
    <w:name w:val="annotation reference"/>
    <w:basedOn w:val="DefaultParagraphFont"/>
    <w:uiPriority w:val="99"/>
    <w:semiHidden/>
    <w:unhideWhenUsed/>
    <w:rsid w:val="001D5E13"/>
    <w:rPr>
      <w:sz w:val="18"/>
      <w:szCs w:val="18"/>
    </w:rPr>
  </w:style>
  <w:style w:type="paragraph" w:styleId="CommentText">
    <w:name w:val="annotation text"/>
    <w:basedOn w:val="Normal"/>
    <w:link w:val="CommentTextChar"/>
    <w:uiPriority w:val="99"/>
    <w:unhideWhenUsed/>
    <w:rsid w:val="001D5E13"/>
  </w:style>
  <w:style w:type="character" w:customStyle="1" w:styleId="CommentTextChar">
    <w:name w:val="Comment Text Char"/>
    <w:basedOn w:val="DefaultParagraphFont"/>
    <w:link w:val="CommentText"/>
    <w:uiPriority w:val="99"/>
    <w:rsid w:val="001D5E13"/>
    <w:rPr>
      <w:rFonts w:ascii="Times New Roman" w:eastAsia="MS Mincho" w:hAnsi="Times New Roman" w:cs="Times New Roman"/>
      <w:sz w:val="24"/>
      <w:szCs w:val="24"/>
      <w:lang w:eastAsia="ja-JP"/>
    </w:rPr>
  </w:style>
  <w:style w:type="paragraph" w:styleId="CommentSubject">
    <w:name w:val="annotation subject"/>
    <w:basedOn w:val="CommentText"/>
    <w:next w:val="CommentText"/>
    <w:link w:val="CommentSubjectChar"/>
    <w:uiPriority w:val="99"/>
    <w:semiHidden/>
    <w:unhideWhenUsed/>
    <w:rsid w:val="001D5E13"/>
    <w:rPr>
      <w:b/>
      <w:bCs/>
      <w:sz w:val="20"/>
      <w:szCs w:val="20"/>
    </w:rPr>
  </w:style>
  <w:style w:type="character" w:customStyle="1" w:styleId="CommentSubjectChar">
    <w:name w:val="Comment Subject Char"/>
    <w:basedOn w:val="CommentTextChar"/>
    <w:link w:val="CommentSubject"/>
    <w:uiPriority w:val="99"/>
    <w:semiHidden/>
    <w:rsid w:val="001D5E13"/>
    <w:rPr>
      <w:rFonts w:ascii="Times New Roman" w:eastAsia="MS Mincho" w:hAnsi="Times New Roman" w:cs="Times New Roman"/>
      <w:b/>
      <w:bCs/>
      <w:sz w:val="20"/>
      <w:szCs w:val="20"/>
      <w:lang w:eastAsia="ja-JP"/>
    </w:rPr>
  </w:style>
  <w:style w:type="character" w:styleId="PageNumber">
    <w:name w:val="page number"/>
    <w:basedOn w:val="DefaultParagraphFont"/>
    <w:rsid w:val="007727B1"/>
  </w:style>
  <w:style w:type="character" w:styleId="Hyperlink">
    <w:name w:val="Hyperlink"/>
    <w:basedOn w:val="DefaultParagraphFont"/>
    <w:rsid w:val="000D61FD"/>
    <w:rPr>
      <w:color w:val="0000FF"/>
      <w:u w:val="single"/>
    </w:rPr>
  </w:style>
  <w:style w:type="character" w:styleId="FollowedHyperlink">
    <w:name w:val="FollowedHyperlink"/>
    <w:basedOn w:val="DefaultParagraphFont"/>
    <w:rsid w:val="0098437E"/>
    <w:rPr>
      <w:color w:val="800080" w:themeColor="followedHyperlink"/>
      <w:u w:val="single"/>
    </w:rPr>
  </w:style>
  <w:style w:type="paragraph" w:styleId="NormalWeb">
    <w:name w:val="Normal (Web)"/>
    <w:basedOn w:val="Normal"/>
    <w:uiPriority w:val="99"/>
    <w:rsid w:val="009C1892"/>
    <w:pPr>
      <w:spacing w:beforeLines="1" w:afterLines="1"/>
    </w:pPr>
    <w:rPr>
      <w:rFonts w:ascii="Times" w:eastAsiaTheme="minorHAnsi" w:hAnsi="Times"/>
      <w:sz w:val="20"/>
      <w:szCs w:val="20"/>
      <w:lang w:eastAsia="en-US"/>
    </w:rPr>
  </w:style>
  <w:style w:type="paragraph" w:styleId="Revision">
    <w:name w:val="Revision"/>
    <w:hidden/>
    <w:rsid w:val="00B20E48"/>
    <w:pPr>
      <w:spacing w:after="0"/>
    </w:pPr>
    <w:rPr>
      <w:rFonts w:ascii="Times New Roman" w:eastAsia="MS Mincho" w:hAnsi="Times New Roman" w:cs="Times New Roman"/>
      <w:sz w:val="24"/>
      <w:szCs w:val="24"/>
      <w:lang w:eastAsia="ja-JP"/>
    </w:rPr>
  </w:style>
  <w:style w:type="character" w:customStyle="1" w:styleId="Heading2Char">
    <w:name w:val="Heading 2 Char"/>
    <w:basedOn w:val="DefaultParagraphFont"/>
    <w:link w:val="Heading2"/>
    <w:rsid w:val="00DF0706"/>
    <w:rPr>
      <w:rFonts w:asciiTheme="majorHAnsi" w:eastAsiaTheme="majorEastAsia" w:hAnsiTheme="majorHAnsi" w:cstheme="majorBidi"/>
      <w:b/>
      <w:bCs/>
      <w:color w:val="4F81BD" w:themeColor="accent1"/>
      <w:sz w:val="26"/>
      <w:szCs w:val="26"/>
      <w:lang w:eastAsia="ja-JP"/>
    </w:rPr>
  </w:style>
  <w:style w:type="character" w:customStyle="1" w:styleId="UnresolvedMention1">
    <w:name w:val="Unresolved Mention1"/>
    <w:basedOn w:val="DefaultParagraphFont"/>
    <w:uiPriority w:val="99"/>
    <w:semiHidden/>
    <w:unhideWhenUsed/>
    <w:rsid w:val="00037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69561">
      <w:bodyDiv w:val="1"/>
      <w:marLeft w:val="0"/>
      <w:marRight w:val="0"/>
      <w:marTop w:val="0"/>
      <w:marBottom w:val="0"/>
      <w:divBdr>
        <w:top w:val="none" w:sz="0" w:space="0" w:color="auto"/>
        <w:left w:val="none" w:sz="0" w:space="0" w:color="auto"/>
        <w:bottom w:val="none" w:sz="0" w:space="0" w:color="auto"/>
        <w:right w:val="none" w:sz="0" w:space="0" w:color="auto"/>
      </w:divBdr>
    </w:div>
    <w:div w:id="177933855">
      <w:bodyDiv w:val="1"/>
      <w:marLeft w:val="0"/>
      <w:marRight w:val="0"/>
      <w:marTop w:val="0"/>
      <w:marBottom w:val="0"/>
      <w:divBdr>
        <w:top w:val="none" w:sz="0" w:space="0" w:color="auto"/>
        <w:left w:val="none" w:sz="0" w:space="0" w:color="auto"/>
        <w:bottom w:val="none" w:sz="0" w:space="0" w:color="auto"/>
        <w:right w:val="none" w:sz="0" w:space="0" w:color="auto"/>
      </w:divBdr>
      <w:divsChild>
        <w:div w:id="151530202">
          <w:marLeft w:val="0"/>
          <w:marRight w:val="0"/>
          <w:marTop w:val="0"/>
          <w:marBottom w:val="0"/>
          <w:divBdr>
            <w:top w:val="none" w:sz="0" w:space="0" w:color="auto"/>
            <w:left w:val="none" w:sz="0" w:space="0" w:color="auto"/>
            <w:bottom w:val="none" w:sz="0" w:space="0" w:color="auto"/>
            <w:right w:val="none" w:sz="0" w:space="0" w:color="auto"/>
          </w:divBdr>
          <w:divsChild>
            <w:div w:id="1059548952">
              <w:marLeft w:val="0"/>
              <w:marRight w:val="0"/>
              <w:marTop w:val="0"/>
              <w:marBottom w:val="0"/>
              <w:divBdr>
                <w:top w:val="none" w:sz="0" w:space="0" w:color="auto"/>
                <w:left w:val="none" w:sz="0" w:space="0" w:color="auto"/>
                <w:bottom w:val="none" w:sz="0" w:space="0" w:color="auto"/>
                <w:right w:val="none" w:sz="0" w:space="0" w:color="auto"/>
              </w:divBdr>
              <w:divsChild>
                <w:div w:id="20548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225526">
      <w:bodyDiv w:val="1"/>
      <w:marLeft w:val="0"/>
      <w:marRight w:val="0"/>
      <w:marTop w:val="0"/>
      <w:marBottom w:val="0"/>
      <w:divBdr>
        <w:top w:val="none" w:sz="0" w:space="0" w:color="auto"/>
        <w:left w:val="none" w:sz="0" w:space="0" w:color="auto"/>
        <w:bottom w:val="none" w:sz="0" w:space="0" w:color="auto"/>
        <w:right w:val="none" w:sz="0" w:space="0" w:color="auto"/>
      </w:divBdr>
    </w:div>
    <w:div w:id="566041248">
      <w:bodyDiv w:val="1"/>
      <w:marLeft w:val="0"/>
      <w:marRight w:val="0"/>
      <w:marTop w:val="0"/>
      <w:marBottom w:val="0"/>
      <w:divBdr>
        <w:top w:val="none" w:sz="0" w:space="0" w:color="auto"/>
        <w:left w:val="none" w:sz="0" w:space="0" w:color="auto"/>
        <w:bottom w:val="none" w:sz="0" w:space="0" w:color="auto"/>
        <w:right w:val="none" w:sz="0" w:space="0" w:color="auto"/>
      </w:divBdr>
      <w:divsChild>
        <w:div w:id="1794982627">
          <w:marLeft w:val="0"/>
          <w:marRight w:val="0"/>
          <w:marTop w:val="0"/>
          <w:marBottom w:val="0"/>
          <w:divBdr>
            <w:top w:val="none" w:sz="0" w:space="0" w:color="auto"/>
            <w:left w:val="none" w:sz="0" w:space="0" w:color="auto"/>
            <w:bottom w:val="none" w:sz="0" w:space="0" w:color="auto"/>
            <w:right w:val="none" w:sz="0" w:space="0" w:color="auto"/>
          </w:divBdr>
          <w:divsChild>
            <w:div w:id="1384598539">
              <w:marLeft w:val="0"/>
              <w:marRight w:val="0"/>
              <w:marTop w:val="0"/>
              <w:marBottom w:val="0"/>
              <w:divBdr>
                <w:top w:val="none" w:sz="0" w:space="0" w:color="auto"/>
                <w:left w:val="none" w:sz="0" w:space="0" w:color="auto"/>
                <w:bottom w:val="none" w:sz="0" w:space="0" w:color="auto"/>
                <w:right w:val="none" w:sz="0" w:space="0" w:color="auto"/>
              </w:divBdr>
              <w:divsChild>
                <w:div w:id="10455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5057">
      <w:bodyDiv w:val="1"/>
      <w:marLeft w:val="0"/>
      <w:marRight w:val="0"/>
      <w:marTop w:val="0"/>
      <w:marBottom w:val="0"/>
      <w:divBdr>
        <w:top w:val="none" w:sz="0" w:space="0" w:color="auto"/>
        <w:left w:val="none" w:sz="0" w:space="0" w:color="auto"/>
        <w:bottom w:val="none" w:sz="0" w:space="0" w:color="auto"/>
        <w:right w:val="none" w:sz="0" w:space="0" w:color="auto"/>
      </w:divBdr>
    </w:div>
    <w:div w:id="784929586">
      <w:bodyDiv w:val="1"/>
      <w:marLeft w:val="0"/>
      <w:marRight w:val="0"/>
      <w:marTop w:val="0"/>
      <w:marBottom w:val="0"/>
      <w:divBdr>
        <w:top w:val="none" w:sz="0" w:space="0" w:color="auto"/>
        <w:left w:val="none" w:sz="0" w:space="0" w:color="auto"/>
        <w:bottom w:val="none" w:sz="0" w:space="0" w:color="auto"/>
        <w:right w:val="none" w:sz="0" w:space="0" w:color="auto"/>
      </w:divBdr>
      <w:divsChild>
        <w:div w:id="637691763">
          <w:marLeft w:val="0"/>
          <w:marRight w:val="0"/>
          <w:marTop w:val="0"/>
          <w:marBottom w:val="0"/>
          <w:divBdr>
            <w:top w:val="none" w:sz="0" w:space="0" w:color="auto"/>
            <w:left w:val="none" w:sz="0" w:space="0" w:color="auto"/>
            <w:bottom w:val="none" w:sz="0" w:space="0" w:color="auto"/>
            <w:right w:val="none" w:sz="0" w:space="0" w:color="auto"/>
          </w:divBdr>
        </w:div>
        <w:div w:id="1010646860">
          <w:marLeft w:val="0"/>
          <w:marRight w:val="0"/>
          <w:marTop w:val="0"/>
          <w:marBottom w:val="0"/>
          <w:divBdr>
            <w:top w:val="none" w:sz="0" w:space="0" w:color="auto"/>
            <w:left w:val="none" w:sz="0" w:space="0" w:color="auto"/>
            <w:bottom w:val="none" w:sz="0" w:space="0" w:color="auto"/>
            <w:right w:val="none" w:sz="0" w:space="0" w:color="auto"/>
          </w:divBdr>
        </w:div>
        <w:div w:id="1666588697">
          <w:marLeft w:val="0"/>
          <w:marRight w:val="0"/>
          <w:marTop w:val="0"/>
          <w:marBottom w:val="0"/>
          <w:divBdr>
            <w:top w:val="none" w:sz="0" w:space="0" w:color="auto"/>
            <w:left w:val="none" w:sz="0" w:space="0" w:color="auto"/>
            <w:bottom w:val="none" w:sz="0" w:space="0" w:color="auto"/>
            <w:right w:val="none" w:sz="0" w:space="0" w:color="auto"/>
          </w:divBdr>
        </w:div>
        <w:div w:id="1958945771">
          <w:marLeft w:val="0"/>
          <w:marRight w:val="0"/>
          <w:marTop w:val="0"/>
          <w:marBottom w:val="0"/>
          <w:divBdr>
            <w:top w:val="none" w:sz="0" w:space="0" w:color="auto"/>
            <w:left w:val="none" w:sz="0" w:space="0" w:color="auto"/>
            <w:bottom w:val="none" w:sz="0" w:space="0" w:color="auto"/>
            <w:right w:val="none" w:sz="0" w:space="0" w:color="auto"/>
          </w:divBdr>
        </w:div>
        <w:div w:id="319314647">
          <w:marLeft w:val="0"/>
          <w:marRight w:val="0"/>
          <w:marTop w:val="0"/>
          <w:marBottom w:val="0"/>
          <w:divBdr>
            <w:top w:val="none" w:sz="0" w:space="0" w:color="auto"/>
            <w:left w:val="none" w:sz="0" w:space="0" w:color="auto"/>
            <w:bottom w:val="none" w:sz="0" w:space="0" w:color="auto"/>
            <w:right w:val="none" w:sz="0" w:space="0" w:color="auto"/>
          </w:divBdr>
        </w:div>
        <w:div w:id="60759295">
          <w:marLeft w:val="0"/>
          <w:marRight w:val="0"/>
          <w:marTop w:val="0"/>
          <w:marBottom w:val="0"/>
          <w:divBdr>
            <w:top w:val="none" w:sz="0" w:space="0" w:color="auto"/>
            <w:left w:val="none" w:sz="0" w:space="0" w:color="auto"/>
            <w:bottom w:val="none" w:sz="0" w:space="0" w:color="auto"/>
            <w:right w:val="none" w:sz="0" w:space="0" w:color="auto"/>
          </w:divBdr>
        </w:div>
        <w:div w:id="1874347839">
          <w:marLeft w:val="0"/>
          <w:marRight w:val="0"/>
          <w:marTop w:val="0"/>
          <w:marBottom w:val="0"/>
          <w:divBdr>
            <w:top w:val="none" w:sz="0" w:space="0" w:color="auto"/>
            <w:left w:val="none" w:sz="0" w:space="0" w:color="auto"/>
            <w:bottom w:val="none" w:sz="0" w:space="0" w:color="auto"/>
            <w:right w:val="none" w:sz="0" w:space="0" w:color="auto"/>
          </w:divBdr>
        </w:div>
        <w:div w:id="1527330860">
          <w:marLeft w:val="0"/>
          <w:marRight w:val="0"/>
          <w:marTop w:val="0"/>
          <w:marBottom w:val="0"/>
          <w:divBdr>
            <w:top w:val="none" w:sz="0" w:space="0" w:color="auto"/>
            <w:left w:val="none" w:sz="0" w:space="0" w:color="auto"/>
            <w:bottom w:val="none" w:sz="0" w:space="0" w:color="auto"/>
            <w:right w:val="none" w:sz="0" w:space="0" w:color="auto"/>
          </w:divBdr>
        </w:div>
        <w:div w:id="131026535">
          <w:marLeft w:val="0"/>
          <w:marRight w:val="0"/>
          <w:marTop w:val="0"/>
          <w:marBottom w:val="0"/>
          <w:divBdr>
            <w:top w:val="none" w:sz="0" w:space="0" w:color="auto"/>
            <w:left w:val="none" w:sz="0" w:space="0" w:color="auto"/>
            <w:bottom w:val="none" w:sz="0" w:space="0" w:color="auto"/>
            <w:right w:val="none" w:sz="0" w:space="0" w:color="auto"/>
          </w:divBdr>
        </w:div>
        <w:div w:id="1427581090">
          <w:marLeft w:val="0"/>
          <w:marRight w:val="0"/>
          <w:marTop w:val="0"/>
          <w:marBottom w:val="0"/>
          <w:divBdr>
            <w:top w:val="none" w:sz="0" w:space="0" w:color="auto"/>
            <w:left w:val="none" w:sz="0" w:space="0" w:color="auto"/>
            <w:bottom w:val="none" w:sz="0" w:space="0" w:color="auto"/>
            <w:right w:val="none" w:sz="0" w:space="0" w:color="auto"/>
          </w:divBdr>
        </w:div>
        <w:div w:id="1498420561">
          <w:marLeft w:val="0"/>
          <w:marRight w:val="0"/>
          <w:marTop w:val="0"/>
          <w:marBottom w:val="0"/>
          <w:divBdr>
            <w:top w:val="none" w:sz="0" w:space="0" w:color="auto"/>
            <w:left w:val="none" w:sz="0" w:space="0" w:color="auto"/>
            <w:bottom w:val="none" w:sz="0" w:space="0" w:color="auto"/>
            <w:right w:val="none" w:sz="0" w:space="0" w:color="auto"/>
          </w:divBdr>
        </w:div>
        <w:div w:id="1348368827">
          <w:marLeft w:val="0"/>
          <w:marRight w:val="0"/>
          <w:marTop w:val="0"/>
          <w:marBottom w:val="0"/>
          <w:divBdr>
            <w:top w:val="none" w:sz="0" w:space="0" w:color="auto"/>
            <w:left w:val="none" w:sz="0" w:space="0" w:color="auto"/>
            <w:bottom w:val="none" w:sz="0" w:space="0" w:color="auto"/>
            <w:right w:val="none" w:sz="0" w:space="0" w:color="auto"/>
          </w:divBdr>
        </w:div>
        <w:div w:id="670839497">
          <w:marLeft w:val="0"/>
          <w:marRight w:val="0"/>
          <w:marTop w:val="0"/>
          <w:marBottom w:val="0"/>
          <w:divBdr>
            <w:top w:val="none" w:sz="0" w:space="0" w:color="auto"/>
            <w:left w:val="none" w:sz="0" w:space="0" w:color="auto"/>
            <w:bottom w:val="none" w:sz="0" w:space="0" w:color="auto"/>
            <w:right w:val="none" w:sz="0" w:space="0" w:color="auto"/>
          </w:divBdr>
        </w:div>
        <w:div w:id="1919289975">
          <w:marLeft w:val="0"/>
          <w:marRight w:val="0"/>
          <w:marTop w:val="0"/>
          <w:marBottom w:val="0"/>
          <w:divBdr>
            <w:top w:val="none" w:sz="0" w:space="0" w:color="auto"/>
            <w:left w:val="none" w:sz="0" w:space="0" w:color="auto"/>
            <w:bottom w:val="none" w:sz="0" w:space="0" w:color="auto"/>
            <w:right w:val="none" w:sz="0" w:space="0" w:color="auto"/>
          </w:divBdr>
        </w:div>
        <w:div w:id="352654643">
          <w:marLeft w:val="0"/>
          <w:marRight w:val="0"/>
          <w:marTop w:val="0"/>
          <w:marBottom w:val="0"/>
          <w:divBdr>
            <w:top w:val="none" w:sz="0" w:space="0" w:color="auto"/>
            <w:left w:val="none" w:sz="0" w:space="0" w:color="auto"/>
            <w:bottom w:val="none" w:sz="0" w:space="0" w:color="auto"/>
            <w:right w:val="none" w:sz="0" w:space="0" w:color="auto"/>
          </w:divBdr>
        </w:div>
        <w:div w:id="1170100190">
          <w:marLeft w:val="0"/>
          <w:marRight w:val="0"/>
          <w:marTop w:val="0"/>
          <w:marBottom w:val="0"/>
          <w:divBdr>
            <w:top w:val="none" w:sz="0" w:space="0" w:color="auto"/>
            <w:left w:val="none" w:sz="0" w:space="0" w:color="auto"/>
            <w:bottom w:val="none" w:sz="0" w:space="0" w:color="auto"/>
            <w:right w:val="none" w:sz="0" w:space="0" w:color="auto"/>
          </w:divBdr>
        </w:div>
        <w:div w:id="169149226">
          <w:marLeft w:val="0"/>
          <w:marRight w:val="0"/>
          <w:marTop w:val="0"/>
          <w:marBottom w:val="0"/>
          <w:divBdr>
            <w:top w:val="none" w:sz="0" w:space="0" w:color="auto"/>
            <w:left w:val="none" w:sz="0" w:space="0" w:color="auto"/>
            <w:bottom w:val="none" w:sz="0" w:space="0" w:color="auto"/>
            <w:right w:val="none" w:sz="0" w:space="0" w:color="auto"/>
          </w:divBdr>
        </w:div>
        <w:div w:id="2068215193">
          <w:marLeft w:val="0"/>
          <w:marRight w:val="0"/>
          <w:marTop w:val="0"/>
          <w:marBottom w:val="0"/>
          <w:divBdr>
            <w:top w:val="none" w:sz="0" w:space="0" w:color="auto"/>
            <w:left w:val="none" w:sz="0" w:space="0" w:color="auto"/>
            <w:bottom w:val="none" w:sz="0" w:space="0" w:color="auto"/>
            <w:right w:val="none" w:sz="0" w:space="0" w:color="auto"/>
          </w:divBdr>
        </w:div>
        <w:div w:id="664553575">
          <w:marLeft w:val="0"/>
          <w:marRight w:val="0"/>
          <w:marTop w:val="0"/>
          <w:marBottom w:val="0"/>
          <w:divBdr>
            <w:top w:val="none" w:sz="0" w:space="0" w:color="auto"/>
            <w:left w:val="none" w:sz="0" w:space="0" w:color="auto"/>
            <w:bottom w:val="none" w:sz="0" w:space="0" w:color="auto"/>
            <w:right w:val="none" w:sz="0" w:space="0" w:color="auto"/>
          </w:divBdr>
        </w:div>
        <w:div w:id="1046098615">
          <w:marLeft w:val="0"/>
          <w:marRight w:val="0"/>
          <w:marTop w:val="0"/>
          <w:marBottom w:val="0"/>
          <w:divBdr>
            <w:top w:val="none" w:sz="0" w:space="0" w:color="auto"/>
            <w:left w:val="none" w:sz="0" w:space="0" w:color="auto"/>
            <w:bottom w:val="none" w:sz="0" w:space="0" w:color="auto"/>
            <w:right w:val="none" w:sz="0" w:space="0" w:color="auto"/>
          </w:divBdr>
        </w:div>
        <w:div w:id="713039904">
          <w:marLeft w:val="0"/>
          <w:marRight w:val="0"/>
          <w:marTop w:val="0"/>
          <w:marBottom w:val="0"/>
          <w:divBdr>
            <w:top w:val="none" w:sz="0" w:space="0" w:color="auto"/>
            <w:left w:val="none" w:sz="0" w:space="0" w:color="auto"/>
            <w:bottom w:val="none" w:sz="0" w:space="0" w:color="auto"/>
            <w:right w:val="none" w:sz="0" w:space="0" w:color="auto"/>
          </w:divBdr>
        </w:div>
        <w:div w:id="17897791">
          <w:marLeft w:val="0"/>
          <w:marRight w:val="0"/>
          <w:marTop w:val="0"/>
          <w:marBottom w:val="0"/>
          <w:divBdr>
            <w:top w:val="none" w:sz="0" w:space="0" w:color="auto"/>
            <w:left w:val="none" w:sz="0" w:space="0" w:color="auto"/>
            <w:bottom w:val="none" w:sz="0" w:space="0" w:color="auto"/>
            <w:right w:val="none" w:sz="0" w:space="0" w:color="auto"/>
          </w:divBdr>
        </w:div>
        <w:div w:id="115950867">
          <w:marLeft w:val="0"/>
          <w:marRight w:val="0"/>
          <w:marTop w:val="0"/>
          <w:marBottom w:val="0"/>
          <w:divBdr>
            <w:top w:val="none" w:sz="0" w:space="0" w:color="auto"/>
            <w:left w:val="none" w:sz="0" w:space="0" w:color="auto"/>
            <w:bottom w:val="none" w:sz="0" w:space="0" w:color="auto"/>
            <w:right w:val="none" w:sz="0" w:space="0" w:color="auto"/>
          </w:divBdr>
        </w:div>
        <w:div w:id="120197833">
          <w:marLeft w:val="0"/>
          <w:marRight w:val="0"/>
          <w:marTop w:val="0"/>
          <w:marBottom w:val="0"/>
          <w:divBdr>
            <w:top w:val="none" w:sz="0" w:space="0" w:color="auto"/>
            <w:left w:val="none" w:sz="0" w:space="0" w:color="auto"/>
            <w:bottom w:val="none" w:sz="0" w:space="0" w:color="auto"/>
            <w:right w:val="none" w:sz="0" w:space="0" w:color="auto"/>
          </w:divBdr>
        </w:div>
        <w:div w:id="1065450175">
          <w:marLeft w:val="0"/>
          <w:marRight w:val="0"/>
          <w:marTop w:val="0"/>
          <w:marBottom w:val="0"/>
          <w:divBdr>
            <w:top w:val="none" w:sz="0" w:space="0" w:color="auto"/>
            <w:left w:val="none" w:sz="0" w:space="0" w:color="auto"/>
            <w:bottom w:val="none" w:sz="0" w:space="0" w:color="auto"/>
            <w:right w:val="none" w:sz="0" w:space="0" w:color="auto"/>
          </w:divBdr>
        </w:div>
        <w:div w:id="295137004">
          <w:marLeft w:val="0"/>
          <w:marRight w:val="0"/>
          <w:marTop w:val="0"/>
          <w:marBottom w:val="0"/>
          <w:divBdr>
            <w:top w:val="none" w:sz="0" w:space="0" w:color="auto"/>
            <w:left w:val="none" w:sz="0" w:space="0" w:color="auto"/>
            <w:bottom w:val="none" w:sz="0" w:space="0" w:color="auto"/>
            <w:right w:val="none" w:sz="0" w:space="0" w:color="auto"/>
          </w:divBdr>
        </w:div>
        <w:div w:id="1941840462">
          <w:marLeft w:val="0"/>
          <w:marRight w:val="0"/>
          <w:marTop w:val="0"/>
          <w:marBottom w:val="0"/>
          <w:divBdr>
            <w:top w:val="none" w:sz="0" w:space="0" w:color="auto"/>
            <w:left w:val="none" w:sz="0" w:space="0" w:color="auto"/>
            <w:bottom w:val="none" w:sz="0" w:space="0" w:color="auto"/>
            <w:right w:val="none" w:sz="0" w:space="0" w:color="auto"/>
          </w:divBdr>
        </w:div>
      </w:divsChild>
    </w:div>
    <w:div w:id="835458236">
      <w:bodyDiv w:val="1"/>
      <w:marLeft w:val="0"/>
      <w:marRight w:val="0"/>
      <w:marTop w:val="0"/>
      <w:marBottom w:val="0"/>
      <w:divBdr>
        <w:top w:val="none" w:sz="0" w:space="0" w:color="auto"/>
        <w:left w:val="none" w:sz="0" w:space="0" w:color="auto"/>
        <w:bottom w:val="none" w:sz="0" w:space="0" w:color="auto"/>
        <w:right w:val="none" w:sz="0" w:space="0" w:color="auto"/>
      </w:divBdr>
    </w:div>
    <w:div w:id="1042100396">
      <w:bodyDiv w:val="1"/>
      <w:marLeft w:val="0"/>
      <w:marRight w:val="0"/>
      <w:marTop w:val="0"/>
      <w:marBottom w:val="0"/>
      <w:divBdr>
        <w:top w:val="none" w:sz="0" w:space="0" w:color="auto"/>
        <w:left w:val="none" w:sz="0" w:space="0" w:color="auto"/>
        <w:bottom w:val="none" w:sz="0" w:space="0" w:color="auto"/>
        <w:right w:val="none" w:sz="0" w:space="0" w:color="auto"/>
      </w:divBdr>
    </w:div>
    <w:div w:id="1144085197">
      <w:bodyDiv w:val="1"/>
      <w:marLeft w:val="0"/>
      <w:marRight w:val="0"/>
      <w:marTop w:val="0"/>
      <w:marBottom w:val="0"/>
      <w:divBdr>
        <w:top w:val="none" w:sz="0" w:space="0" w:color="auto"/>
        <w:left w:val="none" w:sz="0" w:space="0" w:color="auto"/>
        <w:bottom w:val="none" w:sz="0" w:space="0" w:color="auto"/>
        <w:right w:val="none" w:sz="0" w:space="0" w:color="auto"/>
      </w:divBdr>
    </w:div>
    <w:div w:id="1231306551">
      <w:bodyDiv w:val="1"/>
      <w:marLeft w:val="0"/>
      <w:marRight w:val="0"/>
      <w:marTop w:val="0"/>
      <w:marBottom w:val="0"/>
      <w:divBdr>
        <w:top w:val="none" w:sz="0" w:space="0" w:color="auto"/>
        <w:left w:val="none" w:sz="0" w:space="0" w:color="auto"/>
        <w:bottom w:val="none" w:sz="0" w:space="0" w:color="auto"/>
        <w:right w:val="none" w:sz="0" w:space="0" w:color="auto"/>
      </w:divBdr>
    </w:div>
    <w:div w:id="1298684961">
      <w:bodyDiv w:val="1"/>
      <w:marLeft w:val="0"/>
      <w:marRight w:val="0"/>
      <w:marTop w:val="0"/>
      <w:marBottom w:val="0"/>
      <w:divBdr>
        <w:top w:val="none" w:sz="0" w:space="0" w:color="auto"/>
        <w:left w:val="none" w:sz="0" w:space="0" w:color="auto"/>
        <w:bottom w:val="none" w:sz="0" w:space="0" w:color="auto"/>
        <w:right w:val="none" w:sz="0" w:space="0" w:color="auto"/>
      </w:divBdr>
      <w:divsChild>
        <w:div w:id="1461457066">
          <w:marLeft w:val="0"/>
          <w:marRight w:val="0"/>
          <w:marTop w:val="0"/>
          <w:marBottom w:val="0"/>
          <w:divBdr>
            <w:top w:val="none" w:sz="0" w:space="0" w:color="auto"/>
            <w:left w:val="none" w:sz="0" w:space="0" w:color="auto"/>
            <w:bottom w:val="none" w:sz="0" w:space="0" w:color="auto"/>
            <w:right w:val="none" w:sz="0" w:space="0" w:color="auto"/>
          </w:divBdr>
        </w:div>
      </w:divsChild>
    </w:div>
    <w:div w:id="1555039758">
      <w:bodyDiv w:val="1"/>
      <w:marLeft w:val="0"/>
      <w:marRight w:val="0"/>
      <w:marTop w:val="0"/>
      <w:marBottom w:val="0"/>
      <w:divBdr>
        <w:top w:val="none" w:sz="0" w:space="0" w:color="auto"/>
        <w:left w:val="none" w:sz="0" w:space="0" w:color="auto"/>
        <w:bottom w:val="none" w:sz="0" w:space="0" w:color="auto"/>
        <w:right w:val="none" w:sz="0" w:space="0" w:color="auto"/>
      </w:divBdr>
    </w:div>
    <w:div w:id="189623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FDA2B-C295-4929-9927-067ABA193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8273</Words>
  <Characters>47162</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Gould School of Law</Company>
  <LinksUpToDate>false</LinksUpToDate>
  <CharactersWithSpaces>55325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Keating</dc:creator>
  <cp:lastModifiedBy>Gregory C. Keating</cp:lastModifiedBy>
  <cp:revision>2</cp:revision>
  <cp:lastPrinted>2018-05-31T04:21:00Z</cp:lastPrinted>
  <dcterms:created xsi:type="dcterms:W3CDTF">2021-07-12T20:49:00Z</dcterms:created>
  <dcterms:modified xsi:type="dcterms:W3CDTF">2021-07-12T20:49:00Z</dcterms:modified>
</cp:coreProperties>
</file>