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A7A85" w14:textId="58E8790B" w:rsidR="008F792F" w:rsidRPr="00115B01" w:rsidRDefault="00DD72FD" w:rsidP="008F68D6">
      <w:pPr>
        <w:jc w:val="both"/>
        <w:rPr>
          <w:rFonts w:ascii="Cambria" w:hAnsi="Cambria" w:cstheme="minorHAnsi"/>
          <w:sz w:val="28"/>
          <w:szCs w:val="28"/>
          <w:lang w:val="en-US"/>
        </w:rPr>
      </w:pPr>
      <w:r w:rsidRPr="00115B01">
        <w:rPr>
          <w:rFonts w:ascii="Cambria" w:hAnsi="Cambria" w:cstheme="minorHAnsi"/>
          <w:sz w:val="28"/>
          <w:szCs w:val="28"/>
          <w:lang w:val="en-US"/>
        </w:rPr>
        <w:t>Taking Raz Seriously</w:t>
      </w:r>
      <w:r w:rsidR="004E4953" w:rsidRPr="00115B01">
        <w:rPr>
          <w:rFonts w:ascii="Cambria" w:hAnsi="Cambria" w:cstheme="minorHAnsi"/>
          <w:sz w:val="28"/>
          <w:szCs w:val="28"/>
          <w:lang w:val="en-US"/>
        </w:rPr>
        <w:t xml:space="preserve">: On the Value of Autonomy </w:t>
      </w:r>
      <w:r w:rsidR="00C956E0">
        <w:rPr>
          <w:rFonts w:ascii="Cambria" w:hAnsi="Cambria" w:cstheme="minorHAnsi"/>
          <w:sz w:val="28"/>
          <w:szCs w:val="28"/>
          <w:lang w:val="en-US"/>
        </w:rPr>
        <w:t>and its Relation to P</w:t>
      </w:r>
      <w:r w:rsidR="004E4953" w:rsidRPr="00115B01">
        <w:rPr>
          <w:rFonts w:ascii="Cambria" w:hAnsi="Cambria" w:cstheme="minorHAnsi"/>
          <w:sz w:val="28"/>
          <w:szCs w:val="28"/>
          <w:lang w:val="en-US"/>
        </w:rPr>
        <w:t>rivate Law</w:t>
      </w:r>
    </w:p>
    <w:p w14:paraId="55D6B234" w14:textId="21F4D04B" w:rsidR="00DD72FD" w:rsidRDefault="00DD72FD" w:rsidP="008F68D6">
      <w:pPr>
        <w:jc w:val="both"/>
        <w:rPr>
          <w:rFonts w:ascii="Cambria" w:hAnsi="Cambria" w:cstheme="minorHAnsi"/>
          <w:lang w:val="en-US"/>
        </w:rPr>
      </w:pPr>
    </w:p>
    <w:p w14:paraId="47E79F84" w14:textId="242B49AA" w:rsidR="00432D04" w:rsidRDefault="00432D04" w:rsidP="008F68D6">
      <w:pPr>
        <w:jc w:val="both"/>
        <w:rPr>
          <w:rFonts w:ascii="Cambria" w:hAnsi="Cambria" w:cstheme="minorHAnsi"/>
          <w:lang w:val="en-US"/>
        </w:rPr>
      </w:pPr>
      <w:r>
        <w:rPr>
          <w:rFonts w:ascii="Cambria" w:hAnsi="Cambria" w:cstheme="minorHAnsi"/>
          <w:lang w:val="en-US"/>
        </w:rPr>
        <w:t>JE Penner</w:t>
      </w:r>
      <w:r w:rsidR="00A82CF3" w:rsidRPr="00A82CF3">
        <w:rPr>
          <w:rStyle w:val="FootnoteReference"/>
          <w:rFonts w:ascii="Cambria" w:hAnsi="Cambria" w:cstheme="minorHAnsi"/>
          <w:lang w:val="en-US"/>
        </w:rPr>
        <w:footnoteReference w:customMarkFollows="1" w:id="1"/>
        <w:sym w:font="Symbol" w:char="F02A"/>
      </w:r>
    </w:p>
    <w:p w14:paraId="4B626231" w14:textId="62226A5D" w:rsidR="00432D04" w:rsidRDefault="00432D04" w:rsidP="008F68D6">
      <w:pPr>
        <w:jc w:val="both"/>
        <w:rPr>
          <w:rFonts w:ascii="Cambria" w:hAnsi="Cambria" w:cstheme="minorHAnsi"/>
          <w:lang w:val="en-US"/>
        </w:rPr>
      </w:pPr>
    </w:p>
    <w:p w14:paraId="5D5766E6" w14:textId="351819DD" w:rsidR="001E7280" w:rsidRDefault="001E7280" w:rsidP="008F68D6">
      <w:pPr>
        <w:jc w:val="both"/>
        <w:rPr>
          <w:rFonts w:ascii="Cambria" w:hAnsi="Cambria" w:cstheme="minorHAnsi"/>
          <w:lang w:val="en-US"/>
        </w:rPr>
      </w:pPr>
      <w:r>
        <w:rPr>
          <w:rFonts w:ascii="Cambria" w:hAnsi="Cambria" w:cstheme="minorHAnsi"/>
          <w:lang w:val="en-US"/>
        </w:rPr>
        <w:t>Draft</w:t>
      </w:r>
      <w:r w:rsidR="0091065B">
        <w:rPr>
          <w:rFonts w:ascii="Cambria" w:hAnsi="Cambria" w:cstheme="minorHAnsi"/>
          <w:lang w:val="en-US"/>
        </w:rPr>
        <w:t xml:space="preserve"> – do not cite, </w:t>
      </w:r>
      <w:proofErr w:type="spellStart"/>
      <w:r w:rsidR="0091065B">
        <w:rPr>
          <w:rFonts w:ascii="Cambria" w:hAnsi="Cambria" w:cstheme="minorHAnsi"/>
          <w:lang w:val="en-US"/>
        </w:rPr>
        <w:t>etc</w:t>
      </w:r>
      <w:proofErr w:type="spellEnd"/>
    </w:p>
    <w:p w14:paraId="6AB29DB3" w14:textId="77777777" w:rsidR="001E7280" w:rsidRPr="008F68D6" w:rsidRDefault="001E7280" w:rsidP="008F68D6">
      <w:pPr>
        <w:jc w:val="both"/>
        <w:rPr>
          <w:rFonts w:ascii="Cambria" w:hAnsi="Cambria" w:cstheme="minorHAnsi"/>
          <w:lang w:val="en-US"/>
        </w:rPr>
      </w:pPr>
    </w:p>
    <w:p w14:paraId="6FAE401E" w14:textId="2487B233" w:rsidR="00672143" w:rsidRPr="008F68D6" w:rsidRDefault="00672143" w:rsidP="008F68D6">
      <w:pPr>
        <w:pStyle w:val="ListParagraph"/>
        <w:numPr>
          <w:ilvl w:val="0"/>
          <w:numId w:val="2"/>
        </w:numPr>
        <w:jc w:val="both"/>
        <w:rPr>
          <w:rFonts w:ascii="Cambria" w:hAnsi="Cambria" w:cstheme="minorHAnsi"/>
          <w:lang w:val="en-US"/>
        </w:rPr>
      </w:pPr>
      <w:r w:rsidRPr="008F68D6">
        <w:rPr>
          <w:rFonts w:ascii="Cambria" w:hAnsi="Cambria" w:cstheme="minorHAnsi"/>
          <w:lang w:val="en-US"/>
        </w:rPr>
        <w:t>Introduction</w:t>
      </w:r>
    </w:p>
    <w:p w14:paraId="0F15C92A" w14:textId="51D30C55" w:rsidR="00290027" w:rsidRPr="008F68D6" w:rsidRDefault="00290027" w:rsidP="008F68D6">
      <w:pPr>
        <w:jc w:val="both"/>
        <w:rPr>
          <w:rFonts w:ascii="Cambria" w:hAnsi="Cambria" w:cstheme="minorHAnsi"/>
          <w:lang w:val="en-US"/>
        </w:rPr>
      </w:pPr>
    </w:p>
    <w:p w14:paraId="288CEE21" w14:textId="2C5EBE22" w:rsidR="00290027" w:rsidRPr="008F68D6" w:rsidRDefault="00287D07" w:rsidP="008F68D6">
      <w:pPr>
        <w:jc w:val="both"/>
        <w:rPr>
          <w:rFonts w:ascii="Cambria" w:hAnsi="Cambria" w:cstheme="minorHAnsi"/>
          <w:lang w:val="en-US"/>
        </w:rPr>
      </w:pPr>
      <w:r w:rsidRPr="008F68D6">
        <w:rPr>
          <w:rFonts w:ascii="Cambria" w:hAnsi="Cambria" w:cstheme="minorHAnsi"/>
          <w:lang w:val="en-US"/>
        </w:rPr>
        <w:t>For private law theorists, a</w:t>
      </w:r>
      <w:r w:rsidR="00290027" w:rsidRPr="008F68D6">
        <w:rPr>
          <w:rFonts w:ascii="Cambria" w:hAnsi="Cambria" w:cstheme="minorHAnsi"/>
          <w:lang w:val="en-US"/>
        </w:rPr>
        <w:t xml:space="preserve">utonomy seems to be in the air. I have recently come across a number of </w:t>
      </w:r>
      <w:r w:rsidRPr="008F68D6">
        <w:rPr>
          <w:rFonts w:ascii="Cambria" w:hAnsi="Cambria" w:cstheme="minorHAnsi"/>
          <w:lang w:val="en-US"/>
        </w:rPr>
        <w:t>papers</w:t>
      </w:r>
      <w:r w:rsidR="0087282A" w:rsidRPr="008F68D6">
        <w:rPr>
          <w:rStyle w:val="FootnoteReference"/>
          <w:rFonts w:ascii="Cambria" w:hAnsi="Cambria" w:cstheme="minorHAnsi"/>
          <w:lang w:val="en-US"/>
        </w:rPr>
        <w:footnoteReference w:id="2"/>
      </w:r>
      <w:r w:rsidRPr="008F68D6">
        <w:rPr>
          <w:rFonts w:ascii="Cambria" w:hAnsi="Cambria" w:cstheme="minorHAnsi"/>
          <w:lang w:val="en-US"/>
        </w:rPr>
        <w:t xml:space="preserve"> in which the concept of autonomy is called upon to explain</w:t>
      </w:r>
      <w:r w:rsidR="00144FBE">
        <w:rPr>
          <w:rFonts w:ascii="Cambria" w:hAnsi="Cambria" w:cstheme="minorHAnsi"/>
          <w:lang w:val="en-US"/>
        </w:rPr>
        <w:t>,</w:t>
      </w:r>
      <w:r w:rsidR="0087282A" w:rsidRPr="008F68D6">
        <w:rPr>
          <w:rFonts w:ascii="Cambria" w:hAnsi="Cambria" w:cstheme="minorHAnsi"/>
          <w:lang w:val="en-US"/>
        </w:rPr>
        <w:t xml:space="preserve"> and possibly justify,</w:t>
      </w:r>
      <w:r w:rsidRPr="008F68D6">
        <w:rPr>
          <w:rFonts w:ascii="Cambria" w:hAnsi="Cambria" w:cstheme="minorHAnsi"/>
          <w:lang w:val="en-US"/>
        </w:rPr>
        <w:t xml:space="preserve"> some </w:t>
      </w:r>
      <w:r w:rsidR="0087282A" w:rsidRPr="008F68D6">
        <w:rPr>
          <w:rFonts w:ascii="Cambria" w:hAnsi="Cambria" w:cstheme="minorHAnsi"/>
          <w:lang w:val="en-US"/>
        </w:rPr>
        <w:t>private law doctrine.</w:t>
      </w:r>
      <w:r w:rsidR="005E0C66" w:rsidRPr="008F68D6">
        <w:rPr>
          <w:rFonts w:ascii="Cambria" w:hAnsi="Cambria" w:cstheme="minorHAnsi"/>
          <w:lang w:val="en-US"/>
        </w:rPr>
        <w:t xml:space="preserve"> The most prominent proponent of this approach</w:t>
      </w:r>
      <w:r w:rsidR="00BB2A36" w:rsidRPr="008F68D6">
        <w:rPr>
          <w:rFonts w:ascii="Cambria" w:hAnsi="Cambria" w:cstheme="minorHAnsi"/>
          <w:lang w:val="en-US"/>
        </w:rPr>
        <w:t xml:space="preserve"> </w:t>
      </w:r>
      <w:r w:rsidR="005E0C66" w:rsidRPr="008F68D6">
        <w:rPr>
          <w:rFonts w:ascii="Cambria" w:hAnsi="Cambria" w:cstheme="minorHAnsi"/>
          <w:lang w:val="en-US"/>
        </w:rPr>
        <w:t>is</w:t>
      </w:r>
      <w:r w:rsidR="00BB2A36" w:rsidRPr="008F68D6">
        <w:rPr>
          <w:rFonts w:ascii="Cambria" w:hAnsi="Cambria" w:cstheme="minorHAnsi"/>
          <w:lang w:val="en-US"/>
        </w:rPr>
        <w:t xml:space="preserve">, of course, </w:t>
      </w:r>
      <w:proofErr w:type="spellStart"/>
      <w:r w:rsidR="00BB2A36" w:rsidRPr="008F68D6">
        <w:rPr>
          <w:rFonts w:ascii="Cambria" w:hAnsi="Cambria" w:cstheme="minorHAnsi"/>
          <w:lang w:val="en-US"/>
        </w:rPr>
        <w:t>Hanoch</w:t>
      </w:r>
      <w:proofErr w:type="spellEnd"/>
      <w:r w:rsidR="00BB2A36" w:rsidRPr="008F68D6">
        <w:rPr>
          <w:rFonts w:ascii="Cambria" w:hAnsi="Cambria" w:cstheme="minorHAnsi"/>
          <w:lang w:val="en-US"/>
        </w:rPr>
        <w:t xml:space="preserve"> Dagan</w:t>
      </w:r>
      <w:r w:rsidR="00144FBE">
        <w:rPr>
          <w:rFonts w:ascii="Cambria" w:hAnsi="Cambria" w:cstheme="minorHAnsi"/>
          <w:lang w:val="en-US"/>
        </w:rPr>
        <w:t>,</w:t>
      </w:r>
      <w:r w:rsidR="00BB2A36" w:rsidRPr="008F68D6">
        <w:rPr>
          <w:rFonts w:ascii="Cambria" w:hAnsi="Cambria" w:cstheme="minorHAnsi"/>
          <w:lang w:val="en-US"/>
        </w:rPr>
        <w:t xml:space="preserve"> whose two most recent books give </w:t>
      </w:r>
      <w:r w:rsidR="00E63F1F">
        <w:rPr>
          <w:rFonts w:ascii="Cambria" w:hAnsi="Cambria" w:cstheme="minorHAnsi"/>
          <w:lang w:val="en-US"/>
        </w:rPr>
        <w:t xml:space="preserve">it a </w:t>
      </w:r>
      <w:r w:rsidR="00BB2A36" w:rsidRPr="008F68D6">
        <w:rPr>
          <w:rFonts w:ascii="Cambria" w:hAnsi="Cambria" w:cstheme="minorHAnsi"/>
          <w:lang w:val="en-US"/>
        </w:rPr>
        <w:t xml:space="preserve">full-throated </w:t>
      </w:r>
      <w:r w:rsidR="00DC28D4" w:rsidRPr="008F68D6">
        <w:rPr>
          <w:rFonts w:ascii="Cambria" w:hAnsi="Cambria" w:cstheme="minorHAnsi"/>
          <w:lang w:val="en-US"/>
        </w:rPr>
        <w:t>endorsement.</w:t>
      </w:r>
      <w:r w:rsidR="00234FD8" w:rsidRPr="008F68D6">
        <w:rPr>
          <w:rStyle w:val="FootnoteReference"/>
          <w:rFonts w:ascii="Cambria" w:hAnsi="Cambria" w:cstheme="minorHAnsi"/>
          <w:lang w:val="en-US"/>
        </w:rPr>
        <w:footnoteReference w:id="3"/>
      </w:r>
      <w:r w:rsidR="00AC3D94" w:rsidRPr="008F68D6">
        <w:rPr>
          <w:rFonts w:ascii="Cambria" w:hAnsi="Cambria" w:cstheme="minorHAnsi"/>
          <w:lang w:val="en-US"/>
        </w:rPr>
        <w:t xml:space="preserve"> I do not propose to examine Dagan</w:t>
      </w:r>
      <w:r w:rsidR="00872E71" w:rsidRPr="008F68D6">
        <w:rPr>
          <w:rFonts w:ascii="Cambria" w:hAnsi="Cambria" w:cstheme="minorHAnsi"/>
          <w:lang w:val="en-US"/>
        </w:rPr>
        <w:t>’s work in detail</w:t>
      </w:r>
      <w:r w:rsidR="00A319B4">
        <w:rPr>
          <w:rFonts w:ascii="Cambria" w:hAnsi="Cambria" w:cstheme="minorHAnsi"/>
          <w:lang w:val="en-US"/>
        </w:rPr>
        <w:t>, though I shall discuss some aspects of his</w:t>
      </w:r>
      <w:r w:rsidR="00661763">
        <w:rPr>
          <w:rFonts w:ascii="Cambria" w:hAnsi="Cambria" w:cstheme="minorHAnsi"/>
          <w:lang w:val="en-US"/>
        </w:rPr>
        <w:t xml:space="preserve"> and Michael Heller’s</w:t>
      </w:r>
      <w:r w:rsidR="00A319B4">
        <w:rPr>
          <w:rFonts w:ascii="Cambria" w:hAnsi="Cambria" w:cstheme="minorHAnsi"/>
          <w:lang w:val="en-US"/>
        </w:rPr>
        <w:t xml:space="preserve"> ‘choice’ theory of contracts</w:t>
      </w:r>
      <w:r w:rsidR="00872E71" w:rsidRPr="008F68D6">
        <w:rPr>
          <w:rFonts w:ascii="Cambria" w:hAnsi="Cambria" w:cstheme="minorHAnsi"/>
          <w:lang w:val="en-US"/>
        </w:rPr>
        <w:t xml:space="preserve">. </w:t>
      </w:r>
      <w:proofErr w:type="gramStart"/>
      <w:r w:rsidR="00872E71" w:rsidRPr="008F68D6">
        <w:rPr>
          <w:rFonts w:ascii="Cambria" w:hAnsi="Cambria" w:cstheme="minorHAnsi"/>
          <w:lang w:val="en-US"/>
        </w:rPr>
        <w:t>Instead</w:t>
      </w:r>
      <w:proofErr w:type="gramEnd"/>
      <w:r w:rsidR="00872E71" w:rsidRPr="008F68D6">
        <w:rPr>
          <w:rFonts w:ascii="Cambria" w:hAnsi="Cambria" w:cstheme="minorHAnsi"/>
          <w:lang w:val="en-US"/>
        </w:rPr>
        <w:t xml:space="preserve"> I shall raise some general considerations about the </w:t>
      </w:r>
      <w:r w:rsidR="00A609D5" w:rsidRPr="008F68D6">
        <w:rPr>
          <w:rFonts w:ascii="Cambria" w:hAnsi="Cambria" w:cstheme="minorHAnsi"/>
          <w:lang w:val="en-US"/>
        </w:rPr>
        <w:t>relevance of Raz’s theory of autonomy to private law.</w:t>
      </w:r>
      <w:r w:rsidR="00C72946">
        <w:rPr>
          <w:rFonts w:ascii="Cambria" w:hAnsi="Cambria" w:cstheme="minorHAnsi"/>
          <w:lang w:val="en-US"/>
        </w:rPr>
        <w:t xml:space="preserve"> I hope to </w:t>
      </w:r>
      <w:r w:rsidR="0071201D">
        <w:rPr>
          <w:rFonts w:ascii="Cambria" w:hAnsi="Cambria" w:cstheme="minorHAnsi"/>
          <w:lang w:val="en-US"/>
        </w:rPr>
        <w:t>show that</w:t>
      </w:r>
      <w:r w:rsidR="00C72946">
        <w:rPr>
          <w:rFonts w:ascii="Cambria" w:hAnsi="Cambria" w:cstheme="minorHAnsi"/>
          <w:lang w:val="en-US"/>
        </w:rPr>
        <w:t xml:space="preserve"> Raz’s theory of autonomy meshes </w:t>
      </w:r>
      <w:r w:rsidR="0091071F">
        <w:rPr>
          <w:rFonts w:ascii="Cambria" w:hAnsi="Cambria" w:cstheme="minorHAnsi"/>
          <w:lang w:val="en-US"/>
        </w:rPr>
        <w:t>pretty seamlessly</w:t>
      </w:r>
      <w:r w:rsidR="00922D78">
        <w:rPr>
          <w:rFonts w:ascii="Cambria" w:hAnsi="Cambria" w:cstheme="minorHAnsi"/>
          <w:lang w:val="en-US"/>
        </w:rPr>
        <w:t xml:space="preserve"> with what I shall call a Kantian instrumentalist account of private law, point</w:t>
      </w:r>
      <w:r w:rsidR="0091071F">
        <w:rPr>
          <w:rFonts w:ascii="Cambria" w:hAnsi="Cambria" w:cstheme="minorHAnsi"/>
          <w:lang w:val="en-US"/>
        </w:rPr>
        <w:t>ing</w:t>
      </w:r>
      <w:r w:rsidR="00922D78">
        <w:rPr>
          <w:rFonts w:ascii="Cambria" w:hAnsi="Cambria" w:cstheme="minorHAnsi"/>
          <w:lang w:val="en-US"/>
        </w:rPr>
        <w:t xml:space="preserve"> out an aspect of his theory which </w:t>
      </w:r>
      <w:r w:rsidR="00886E3D">
        <w:rPr>
          <w:rFonts w:ascii="Cambria" w:hAnsi="Cambria" w:cstheme="minorHAnsi"/>
          <w:lang w:val="en-US"/>
        </w:rPr>
        <w:t>I don’t think has been given sufficient attention</w:t>
      </w:r>
      <w:r w:rsidR="00A51770">
        <w:rPr>
          <w:rFonts w:ascii="Cambria" w:hAnsi="Cambria" w:cstheme="minorHAnsi"/>
          <w:lang w:val="en-US"/>
        </w:rPr>
        <w:t xml:space="preserve">, that is, the ‘independence’ condition for autonomy. I </w:t>
      </w:r>
      <w:r w:rsidR="004211F7">
        <w:rPr>
          <w:rFonts w:ascii="Cambria" w:hAnsi="Cambria" w:cstheme="minorHAnsi"/>
          <w:lang w:val="en-US"/>
        </w:rPr>
        <w:t xml:space="preserve">shall </w:t>
      </w:r>
      <w:r w:rsidR="00A51770">
        <w:rPr>
          <w:rFonts w:ascii="Cambria" w:hAnsi="Cambria" w:cstheme="minorHAnsi"/>
          <w:lang w:val="en-US"/>
        </w:rPr>
        <w:t>then provide reasons for</w:t>
      </w:r>
      <w:r w:rsidR="008216F3">
        <w:rPr>
          <w:rFonts w:ascii="Cambria" w:hAnsi="Cambria" w:cstheme="minorHAnsi"/>
          <w:lang w:val="en-US"/>
        </w:rPr>
        <w:t xml:space="preserve"> </w:t>
      </w:r>
      <w:r w:rsidR="001959E1">
        <w:rPr>
          <w:rFonts w:ascii="Cambria" w:hAnsi="Cambria" w:cstheme="minorHAnsi"/>
          <w:lang w:val="en-US"/>
        </w:rPr>
        <w:t>proceed</w:t>
      </w:r>
      <w:r w:rsidR="008216F3">
        <w:rPr>
          <w:rFonts w:ascii="Cambria" w:hAnsi="Cambria" w:cstheme="minorHAnsi"/>
          <w:lang w:val="en-US"/>
        </w:rPr>
        <w:t>ing</w:t>
      </w:r>
      <w:r w:rsidR="001959E1">
        <w:rPr>
          <w:rFonts w:ascii="Cambria" w:hAnsi="Cambria" w:cstheme="minorHAnsi"/>
          <w:lang w:val="en-US"/>
        </w:rPr>
        <w:t xml:space="preserve"> with caution </w:t>
      </w:r>
      <w:r w:rsidR="008216F3">
        <w:rPr>
          <w:rFonts w:ascii="Cambria" w:hAnsi="Cambria" w:cstheme="minorHAnsi"/>
          <w:lang w:val="en-US"/>
        </w:rPr>
        <w:t xml:space="preserve">if we aim to </w:t>
      </w:r>
      <w:r w:rsidR="007A7F88">
        <w:rPr>
          <w:rFonts w:ascii="Cambria" w:hAnsi="Cambria" w:cstheme="minorHAnsi"/>
          <w:lang w:val="en-US"/>
        </w:rPr>
        <w:t xml:space="preserve">show </w:t>
      </w:r>
      <w:r w:rsidR="00BE5806">
        <w:rPr>
          <w:rFonts w:ascii="Cambria" w:hAnsi="Cambria" w:cstheme="minorHAnsi"/>
          <w:lang w:val="en-US"/>
        </w:rPr>
        <w:t xml:space="preserve">that </w:t>
      </w:r>
      <w:r w:rsidR="007A7F88">
        <w:rPr>
          <w:rFonts w:ascii="Cambria" w:hAnsi="Cambria" w:cstheme="minorHAnsi"/>
          <w:lang w:val="en-US"/>
        </w:rPr>
        <w:t xml:space="preserve">private law gives effect to </w:t>
      </w:r>
      <w:r w:rsidR="008216F3">
        <w:rPr>
          <w:rFonts w:ascii="Cambria" w:hAnsi="Cambria" w:cstheme="minorHAnsi"/>
          <w:lang w:val="en-US"/>
        </w:rPr>
        <w:t xml:space="preserve">the </w:t>
      </w:r>
      <w:r w:rsidR="007A7F88">
        <w:rPr>
          <w:rFonts w:ascii="Cambria" w:hAnsi="Cambria" w:cstheme="minorHAnsi"/>
          <w:lang w:val="en-US"/>
        </w:rPr>
        <w:t>‘range of options’ condition for autonomy.</w:t>
      </w:r>
    </w:p>
    <w:p w14:paraId="1D3AC57D" w14:textId="77777777" w:rsidR="00250772" w:rsidRPr="008F68D6" w:rsidRDefault="00250772" w:rsidP="008F68D6">
      <w:pPr>
        <w:jc w:val="both"/>
        <w:rPr>
          <w:rFonts w:ascii="Cambria" w:hAnsi="Cambria" w:cstheme="minorHAnsi"/>
          <w:lang w:val="en-US"/>
        </w:rPr>
      </w:pPr>
    </w:p>
    <w:p w14:paraId="23B66B1B" w14:textId="0A53642D" w:rsidR="00A609D5" w:rsidRPr="008F68D6" w:rsidRDefault="00A609D5" w:rsidP="008F68D6">
      <w:pPr>
        <w:jc w:val="both"/>
        <w:rPr>
          <w:rFonts w:ascii="Cambria" w:hAnsi="Cambria" w:cstheme="minorHAnsi"/>
          <w:lang w:val="en-US"/>
        </w:rPr>
      </w:pPr>
    </w:p>
    <w:p w14:paraId="3C36C4DA" w14:textId="49B66505" w:rsidR="00A609D5" w:rsidRPr="008F68D6" w:rsidRDefault="00A609D5" w:rsidP="008F68D6">
      <w:pPr>
        <w:pStyle w:val="ListParagraph"/>
        <w:numPr>
          <w:ilvl w:val="0"/>
          <w:numId w:val="2"/>
        </w:numPr>
        <w:jc w:val="both"/>
        <w:rPr>
          <w:rFonts w:ascii="Cambria" w:hAnsi="Cambria" w:cstheme="minorHAnsi"/>
          <w:lang w:val="en-US"/>
        </w:rPr>
      </w:pPr>
      <w:r w:rsidRPr="008F68D6">
        <w:rPr>
          <w:rFonts w:ascii="Cambria" w:hAnsi="Cambria" w:cstheme="minorHAnsi"/>
          <w:lang w:val="en-US"/>
        </w:rPr>
        <w:t>Raz’s theory of autonomy</w:t>
      </w:r>
    </w:p>
    <w:p w14:paraId="754E5A16" w14:textId="37D88151" w:rsidR="00250772" w:rsidRPr="008F68D6" w:rsidRDefault="00250772" w:rsidP="008F68D6">
      <w:pPr>
        <w:jc w:val="both"/>
        <w:rPr>
          <w:rFonts w:ascii="Cambria" w:hAnsi="Cambria" w:cstheme="minorHAnsi"/>
          <w:lang w:val="en-US"/>
        </w:rPr>
      </w:pPr>
    </w:p>
    <w:p w14:paraId="248AB762" w14:textId="210F5274" w:rsidR="0041561A" w:rsidRPr="008F68D6" w:rsidRDefault="00250772" w:rsidP="008F68D6">
      <w:pPr>
        <w:jc w:val="both"/>
        <w:rPr>
          <w:rFonts w:ascii="Cambria" w:hAnsi="Cambria" w:cstheme="minorHAnsi"/>
          <w:lang w:val="en-US"/>
        </w:rPr>
      </w:pPr>
      <w:r w:rsidRPr="008F68D6">
        <w:rPr>
          <w:rFonts w:ascii="Cambria" w:hAnsi="Cambria" w:cstheme="minorHAnsi"/>
          <w:lang w:val="en-US"/>
        </w:rPr>
        <w:t>Raz’s theory of autonomy</w:t>
      </w:r>
      <w:r w:rsidR="005A2DB7" w:rsidRPr="008F68D6">
        <w:rPr>
          <w:rStyle w:val="FootnoteReference"/>
          <w:rFonts w:ascii="Cambria" w:hAnsi="Cambria" w:cstheme="minorHAnsi"/>
          <w:lang w:val="en-US"/>
        </w:rPr>
        <w:footnoteReference w:id="4"/>
      </w:r>
      <w:r w:rsidRPr="008F68D6">
        <w:rPr>
          <w:rFonts w:ascii="Cambria" w:hAnsi="Cambria" w:cstheme="minorHAnsi"/>
          <w:lang w:val="en-US"/>
        </w:rPr>
        <w:t xml:space="preserve"> is so well known that I need not say</w:t>
      </w:r>
      <w:r w:rsidR="00317C2E" w:rsidRPr="008F68D6">
        <w:rPr>
          <w:rFonts w:ascii="Cambria" w:hAnsi="Cambria" w:cstheme="minorHAnsi"/>
          <w:lang w:val="en-US"/>
        </w:rPr>
        <w:t xml:space="preserve"> very much to </w:t>
      </w:r>
      <w:r w:rsidR="005A2DB7" w:rsidRPr="008F68D6">
        <w:rPr>
          <w:rFonts w:ascii="Cambria" w:hAnsi="Cambria" w:cstheme="minorHAnsi"/>
          <w:lang w:val="en-US"/>
        </w:rPr>
        <w:t xml:space="preserve">remind us </w:t>
      </w:r>
      <w:r w:rsidR="003672D3">
        <w:rPr>
          <w:rFonts w:ascii="Cambria" w:hAnsi="Cambria" w:cstheme="minorHAnsi"/>
          <w:lang w:val="en-US"/>
        </w:rPr>
        <w:t xml:space="preserve">of </w:t>
      </w:r>
      <w:r w:rsidR="005A2DB7" w:rsidRPr="008F68D6">
        <w:rPr>
          <w:rFonts w:ascii="Cambria" w:hAnsi="Cambria" w:cstheme="minorHAnsi"/>
          <w:lang w:val="en-US"/>
        </w:rPr>
        <w:t xml:space="preserve">its central features. </w:t>
      </w:r>
      <w:r w:rsidR="00AB200A" w:rsidRPr="008F68D6">
        <w:rPr>
          <w:rFonts w:ascii="Cambria" w:hAnsi="Cambria" w:cstheme="minorHAnsi"/>
          <w:lang w:val="en-US"/>
        </w:rPr>
        <w:t xml:space="preserve">An autonomous life is one </w:t>
      </w:r>
      <w:r w:rsidR="00191FC5" w:rsidRPr="008F68D6">
        <w:rPr>
          <w:rFonts w:ascii="Cambria" w:hAnsi="Cambria" w:cstheme="minorHAnsi"/>
          <w:lang w:val="en-US"/>
        </w:rPr>
        <w:t xml:space="preserve">in which the individual whose life it is has shaped that life to a significant extent, </w:t>
      </w:r>
      <w:r w:rsidR="00B206CF">
        <w:rPr>
          <w:rFonts w:ascii="Cambria" w:hAnsi="Cambria" w:cstheme="minorHAnsi"/>
          <w:lang w:val="en-US"/>
        </w:rPr>
        <w:t xml:space="preserve">so </w:t>
      </w:r>
      <w:r w:rsidR="00191FC5" w:rsidRPr="008F68D6">
        <w:rPr>
          <w:rFonts w:ascii="Cambria" w:hAnsi="Cambria" w:cstheme="minorHAnsi"/>
          <w:lang w:val="en-US"/>
        </w:rPr>
        <w:t>can be considered a part-author of her life.</w:t>
      </w:r>
      <w:r w:rsidR="002E6DFF" w:rsidRPr="008F68D6">
        <w:rPr>
          <w:rFonts w:ascii="Cambria" w:hAnsi="Cambria" w:cstheme="minorHAnsi"/>
          <w:lang w:val="en-US"/>
        </w:rPr>
        <w:t xml:space="preserve"> An autonomous life depends on </w:t>
      </w:r>
      <w:r w:rsidR="008C3AEE" w:rsidRPr="008F68D6">
        <w:rPr>
          <w:rFonts w:ascii="Cambria" w:hAnsi="Cambria" w:cstheme="minorHAnsi"/>
          <w:lang w:val="en-US"/>
        </w:rPr>
        <w:t>three</w:t>
      </w:r>
      <w:r w:rsidR="002E6DFF" w:rsidRPr="008F68D6">
        <w:rPr>
          <w:rFonts w:ascii="Cambria" w:hAnsi="Cambria" w:cstheme="minorHAnsi"/>
          <w:lang w:val="en-US"/>
        </w:rPr>
        <w:t xml:space="preserve"> </w:t>
      </w:r>
      <w:r w:rsidR="00ED2866" w:rsidRPr="008F68D6">
        <w:rPr>
          <w:rFonts w:ascii="Cambria" w:hAnsi="Cambria" w:cstheme="minorHAnsi"/>
          <w:lang w:val="en-US"/>
        </w:rPr>
        <w:t xml:space="preserve">essential conditions, one of the </w:t>
      </w:r>
      <w:proofErr w:type="gramStart"/>
      <w:r w:rsidR="00ED2866" w:rsidRPr="008F68D6">
        <w:rPr>
          <w:rFonts w:ascii="Cambria" w:hAnsi="Cambria" w:cstheme="minorHAnsi"/>
          <w:lang w:val="en-US"/>
        </w:rPr>
        <w:t>person</w:t>
      </w:r>
      <w:proofErr w:type="gramEnd"/>
      <w:r w:rsidR="00ED2866" w:rsidRPr="008F68D6">
        <w:rPr>
          <w:rFonts w:ascii="Cambria" w:hAnsi="Cambria" w:cstheme="minorHAnsi"/>
          <w:lang w:val="en-US"/>
        </w:rPr>
        <w:t>, one of the context in which she finds herself</w:t>
      </w:r>
      <w:r w:rsidR="008C3AEE" w:rsidRPr="008F68D6">
        <w:rPr>
          <w:rFonts w:ascii="Cambria" w:hAnsi="Cambria" w:cstheme="minorHAnsi"/>
          <w:lang w:val="en-US"/>
        </w:rPr>
        <w:t xml:space="preserve">, and one in respect of the way </w:t>
      </w:r>
      <w:r w:rsidR="000F2DE8" w:rsidRPr="008F68D6">
        <w:rPr>
          <w:rFonts w:ascii="Cambria" w:hAnsi="Cambria" w:cstheme="minorHAnsi"/>
          <w:lang w:val="en-US"/>
        </w:rPr>
        <w:t>that person stands in relation to others. T</w:t>
      </w:r>
      <w:r w:rsidR="00ED2866" w:rsidRPr="008F68D6">
        <w:rPr>
          <w:rFonts w:ascii="Cambria" w:hAnsi="Cambria" w:cstheme="minorHAnsi"/>
          <w:lang w:val="en-US"/>
        </w:rPr>
        <w:t>he f</w:t>
      </w:r>
      <w:r w:rsidR="000F2DE8" w:rsidRPr="008F68D6">
        <w:rPr>
          <w:rFonts w:ascii="Cambria" w:hAnsi="Cambria" w:cstheme="minorHAnsi"/>
          <w:lang w:val="en-US"/>
        </w:rPr>
        <w:t>irst</w:t>
      </w:r>
      <w:r w:rsidR="00ED2866" w:rsidRPr="008F68D6">
        <w:rPr>
          <w:rFonts w:ascii="Cambria" w:hAnsi="Cambria" w:cstheme="minorHAnsi"/>
          <w:lang w:val="en-US"/>
        </w:rPr>
        <w:t xml:space="preserve"> is the</w:t>
      </w:r>
      <w:r w:rsidR="002E6DFF" w:rsidRPr="008F68D6">
        <w:rPr>
          <w:rFonts w:ascii="Cambria" w:hAnsi="Cambria" w:cstheme="minorHAnsi"/>
          <w:lang w:val="en-US"/>
        </w:rPr>
        <w:t xml:space="preserve"> </w:t>
      </w:r>
      <w:r w:rsidR="002E6DFF" w:rsidRPr="00B006C6">
        <w:rPr>
          <w:rFonts w:ascii="Cambria" w:hAnsi="Cambria" w:cstheme="minorHAnsi"/>
          <w:i/>
          <w:iCs/>
          <w:lang w:val="en-US"/>
        </w:rPr>
        <w:t>capacity</w:t>
      </w:r>
      <w:r w:rsidR="002E6DFF" w:rsidRPr="008F68D6">
        <w:rPr>
          <w:rFonts w:ascii="Cambria" w:hAnsi="Cambria" w:cstheme="minorHAnsi"/>
          <w:lang w:val="en-US"/>
        </w:rPr>
        <w:t xml:space="preserve"> for autonomy</w:t>
      </w:r>
      <w:r w:rsidR="000F2DE8" w:rsidRPr="008F68D6">
        <w:rPr>
          <w:rFonts w:ascii="Cambria" w:hAnsi="Cambria" w:cstheme="minorHAnsi"/>
          <w:lang w:val="en-US"/>
        </w:rPr>
        <w:t xml:space="preserve"> in a person-sensitive sense</w:t>
      </w:r>
      <w:r w:rsidR="00ED2866" w:rsidRPr="008F68D6">
        <w:rPr>
          <w:rFonts w:ascii="Cambria" w:hAnsi="Cambria" w:cstheme="minorHAnsi"/>
          <w:lang w:val="en-US"/>
        </w:rPr>
        <w:t xml:space="preserve">, the second </w:t>
      </w:r>
      <w:r w:rsidR="002E6DFF" w:rsidRPr="00B006C6">
        <w:rPr>
          <w:rFonts w:ascii="Cambria" w:hAnsi="Cambria" w:cstheme="minorHAnsi"/>
          <w:i/>
          <w:iCs/>
          <w:lang w:val="en-US"/>
        </w:rPr>
        <w:t>a</w:t>
      </w:r>
      <w:r w:rsidR="007B2EA6" w:rsidRPr="00B006C6">
        <w:rPr>
          <w:rFonts w:ascii="Cambria" w:hAnsi="Cambria" w:cstheme="minorHAnsi"/>
          <w:i/>
          <w:iCs/>
          <w:lang w:val="en-US"/>
        </w:rPr>
        <w:t>n adequate</w:t>
      </w:r>
      <w:r w:rsidR="002E6DFF" w:rsidRPr="00B006C6">
        <w:rPr>
          <w:rFonts w:ascii="Cambria" w:hAnsi="Cambria" w:cstheme="minorHAnsi"/>
          <w:i/>
          <w:iCs/>
          <w:lang w:val="en-US"/>
        </w:rPr>
        <w:t xml:space="preserve"> number of significant life options to choose from</w:t>
      </w:r>
      <w:r w:rsidR="007B2EA6" w:rsidRPr="008F68D6">
        <w:rPr>
          <w:rFonts w:ascii="Cambria" w:hAnsi="Cambria" w:cstheme="minorHAnsi"/>
          <w:lang w:val="en-US"/>
        </w:rPr>
        <w:t>, and the third</w:t>
      </w:r>
      <w:r w:rsidR="00D414B1" w:rsidRPr="008F68D6">
        <w:rPr>
          <w:rFonts w:ascii="Cambria" w:hAnsi="Cambria" w:cstheme="minorHAnsi"/>
          <w:lang w:val="en-US"/>
        </w:rPr>
        <w:t xml:space="preserve">, </w:t>
      </w:r>
      <w:r w:rsidR="00D414B1" w:rsidRPr="00B006C6">
        <w:rPr>
          <w:rFonts w:ascii="Cambria" w:hAnsi="Cambria" w:cstheme="minorHAnsi"/>
          <w:i/>
          <w:iCs/>
          <w:lang w:val="en-US"/>
        </w:rPr>
        <w:t>independence</w:t>
      </w:r>
      <w:r w:rsidR="002F282B" w:rsidRPr="008F68D6">
        <w:rPr>
          <w:rFonts w:ascii="Cambria" w:hAnsi="Cambria" w:cstheme="minorHAnsi"/>
          <w:lang w:val="en-US"/>
        </w:rPr>
        <w:t xml:space="preserve">, that is freedom from coercion and manipulation </w:t>
      </w:r>
      <w:r w:rsidR="00237091" w:rsidRPr="008F68D6">
        <w:rPr>
          <w:rFonts w:ascii="Cambria" w:hAnsi="Cambria" w:cstheme="minorHAnsi"/>
          <w:lang w:val="en-US"/>
        </w:rPr>
        <w:t>by others</w:t>
      </w:r>
      <w:r w:rsidR="00B31FFF" w:rsidRPr="008F68D6">
        <w:rPr>
          <w:rFonts w:ascii="Cambria" w:hAnsi="Cambria" w:cstheme="minorHAnsi"/>
          <w:lang w:val="en-US"/>
        </w:rPr>
        <w:t>.</w:t>
      </w:r>
      <w:r w:rsidR="00237091" w:rsidRPr="008F68D6">
        <w:rPr>
          <w:rStyle w:val="FootnoteReference"/>
          <w:rFonts w:ascii="Cambria" w:hAnsi="Cambria" w:cstheme="minorHAnsi"/>
          <w:lang w:val="en-US"/>
        </w:rPr>
        <w:footnoteReference w:id="5"/>
      </w:r>
      <w:r w:rsidR="00B31FFF" w:rsidRPr="008F68D6">
        <w:rPr>
          <w:rFonts w:ascii="Cambria" w:hAnsi="Cambria" w:cstheme="minorHAnsi"/>
          <w:lang w:val="en-US"/>
        </w:rPr>
        <w:t xml:space="preserve"> With those t</w:t>
      </w:r>
      <w:r w:rsidR="000B11F7">
        <w:rPr>
          <w:rFonts w:ascii="Cambria" w:hAnsi="Cambria" w:cstheme="minorHAnsi"/>
          <w:lang w:val="en-US"/>
        </w:rPr>
        <w:t>hree</w:t>
      </w:r>
      <w:r w:rsidR="00B97402" w:rsidRPr="008F68D6">
        <w:rPr>
          <w:rFonts w:ascii="Cambria" w:hAnsi="Cambria" w:cstheme="minorHAnsi"/>
          <w:lang w:val="en-US"/>
        </w:rPr>
        <w:t xml:space="preserve"> </w:t>
      </w:r>
      <w:r w:rsidR="00F55C7C">
        <w:rPr>
          <w:rFonts w:ascii="Cambria" w:hAnsi="Cambria" w:cstheme="minorHAnsi"/>
          <w:lang w:val="en-US"/>
        </w:rPr>
        <w:t xml:space="preserve">conditions </w:t>
      </w:r>
      <w:r w:rsidR="00B97402" w:rsidRPr="008F68D6">
        <w:rPr>
          <w:rFonts w:ascii="Cambria" w:hAnsi="Cambria" w:cstheme="minorHAnsi"/>
          <w:lang w:val="en-US"/>
        </w:rPr>
        <w:t>in place, a person can reasonably be asked, ‘What have you made of your life?’</w:t>
      </w:r>
      <w:r w:rsidR="003F243D" w:rsidRPr="008F68D6">
        <w:rPr>
          <w:rFonts w:ascii="Cambria" w:hAnsi="Cambria" w:cstheme="minorHAnsi"/>
          <w:lang w:val="en-US"/>
        </w:rPr>
        <w:t xml:space="preserve"> </w:t>
      </w:r>
    </w:p>
    <w:p w14:paraId="294BE4D5" w14:textId="77777777" w:rsidR="0041561A" w:rsidRPr="008F68D6" w:rsidRDefault="0041561A" w:rsidP="008F68D6">
      <w:pPr>
        <w:jc w:val="both"/>
        <w:rPr>
          <w:rFonts w:ascii="Cambria" w:hAnsi="Cambria" w:cstheme="minorHAnsi"/>
          <w:lang w:val="en-US"/>
        </w:rPr>
      </w:pPr>
    </w:p>
    <w:p w14:paraId="07E5DEEA" w14:textId="7D6CC014" w:rsidR="00250772" w:rsidRPr="008F68D6" w:rsidRDefault="004659D4" w:rsidP="008F68D6">
      <w:pPr>
        <w:jc w:val="both"/>
        <w:rPr>
          <w:rFonts w:ascii="Cambria" w:hAnsi="Cambria" w:cstheme="minorHAnsi"/>
          <w:lang w:val="en-US"/>
        </w:rPr>
      </w:pPr>
      <w:r w:rsidRPr="008F68D6">
        <w:rPr>
          <w:rFonts w:ascii="Cambria" w:hAnsi="Cambria" w:cstheme="minorHAnsi"/>
          <w:lang w:val="en-US"/>
        </w:rPr>
        <w:t>This question points to an important distinction Raz makes between autonomy understood as a capacity</w:t>
      </w:r>
      <w:r w:rsidR="000638F1" w:rsidRPr="008F68D6">
        <w:rPr>
          <w:rFonts w:ascii="Cambria" w:hAnsi="Cambria" w:cstheme="minorHAnsi"/>
          <w:lang w:val="en-US"/>
        </w:rPr>
        <w:t>, which relates the t</w:t>
      </w:r>
      <w:r w:rsidR="001F522D" w:rsidRPr="008F68D6">
        <w:rPr>
          <w:rFonts w:ascii="Cambria" w:hAnsi="Cambria" w:cstheme="minorHAnsi"/>
          <w:lang w:val="en-US"/>
        </w:rPr>
        <w:t>hree</w:t>
      </w:r>
      <w:r w:rsidR="000638F1" w:rsidRPr="008F68D6">
        <w:rPr>
          <w:rFonts w:ascii="Cambria" w:hAnsi="Cambria" w:cstheme="minorHAnsi"/>
          <w:lang w:val="en-US"/>
        </w:rPr>
        <w:t xml:space="preserve"> conditions just mentioned, and autonomy understood as an achievement, </w:t>
      </w:r>
      <w:r w:rsidR="00637F49" w:rsidRPr="008F68D6">
        <w:rPr>
          <w:rFonts w:ascii="Cambria" w:hAnsi="Cambria" w:cstheme="minorHAnsi"/>
          <w:lang w:val="en-US"/>
        </w:rPr>
        <w:t xml:space="preserve">success (to a meaningful extent) in exercising </w:t>
      </w:r>
      <w:r w:rsidR="00637F49" w:rsidRPr="008F68D6">
        <w:rPr>
          <w:rFonts w:ascii="Cambria" w:hAnsi="Cambria" w:cstheme="minorHAnsi"/>
          <w:lang w:val="en-US"/>
        </w:rPr>
        <w:lastRenderedPageBreak/>
        <w:t>that capacity.</w:t>
      </w:r>
      <w:r w:rsidR="003F7BFD" w:rsidRPr="008F68D6">
        <w:rPr>
          <w:rStyle w:val="FootnoteReference"/>
          <w:rFonts w:ascii="Cambria" w:hAnsi="Cambria" w:cstheme="minorHAnsi"/>
          <w:lang w:val="en-US"/>
        </w:rPr>
        <w:footnoteReference w:id="6"/>
      </w:r>
      <w:r w:rsidR="000F77FF" w:rsidRPr="008F68D6">
        <w:rPr>
          <w:rFonts w:ascii="Cambria" w:hAnsi="Cambria" w:cstheme="minorHAnsi"/>
          <w:lang w:val="en-US"/>
        </w:rPr>
        <w:t xml:space="preserve"> </w:t>
      </w:r>
      <w:r w:rsidR="001F522D" w:rsidRPr="008F68D6">
        <w:rPr>
          <w:rFonts w:ascii="Cambria" w:hAnsi="Cambria" w:cstheme="minorHAnsi"/>
          <w:lang w:val="en-US"/>
        </w:rPr>
        <w:t xml:space="preserve">Finally, the value of autonomy lies in </w:t>
      </w:r>
      <w:r w:rsidR="00E80C7E" w:rsidRPr="008F68D6">
        <w:rPr>
          <w:rFonts w:ascii="Cambria" w:hAnsi="Cambria" w:cstheme="minorHAnsi"/>
          <w:lang w:val="en-US"/>
        </w:rPr>
        <w:t xml:space="preserve">the choosing of </w:t>
      </w:r>
      <w:r w:rsidR="00E80C7E" w:rsidRPr="00D816A4">
        <w:rPr>
          <w:rFonts w:ascii="Cambria" w:hAnsi="Cambria" w:cstheme="minorHAnsi"/>
          <w:i/>
          <w:iCs/>
          <w:lang w:val="en-US"/>
        </w:rPr>
        <w:t>valuable</w:t>
      </w:r>
      <w:r w:rsidR="00E80C7E" w:rsidRPr="008F68D6">
        <w:rPr>
          <w:rFonts w:ascii="Cambria" w:hAnsi="Cambria" w:cstheme="minorHAnsi"/>
          <w:lang w:val="en-US"/>
        </w:rPr>
        <w:t xml:space="preserve"> options. ‘Autonomy is valuable </w:t>
      </w:r>
      <w:r w:rsidR="00F57B57" w:rsidRPr="008F68D6">
        <w:rPr>
          <w:rFonts w:ascii="Cambria" w:hAnsi="Cambria" w:cstheme="minorHAnsi"/>
          <w:lang w:val="en-US"/>
        </w:rPr>
        <w:t>only if exercised in pursuit of the good.’</w:t>
      </w:r>
      <w:r w:rsidR="00F57B57" w:rsidRPr="008F68D6">
        <w:rPr>
          <w:rStyle w:val="FootnoteReference"/>
          <w:rFonts w:ascii="Cambria" w:hAnsi="Cambria" w:cstheme="minorHAnsi"/>
          <w:lang w:val="en-US"/>
        </w:rPr>
        <w:footnoteReference w:id="7"/>
      </w:r>
      <w:r w:rsidR="00614AB6" w:rsidRPr="008F68D6">
        <w:rPr>
          <w:rFonts w:ascii="Cambria" w:hAnsi="Cambria" w:cstheme="minorHAnsi"/>
          <w:lang w:val="en-US"/>
        </w:rPr>
        <w:t xml:space="preserve"> The absence of bad options, or indeed the state’s removing of some bad options </w:t>
      </w:r>
      <w:r w:rsidR="000B11F7">
        <w:rPr>
          <w:rFonts w:ascii="Cambria" w:hAnsi="Cambria" w:cstheme="minorHAnsi"/>
          <w:lang w:val="en-US"/>
        </w:rPr>
        <w:t>or</w:t>
      </w:r>
      <w:r w:rsidR="00614AB6" w:rsidRPr="008F68D6">
        <w:rPr>
          <w:rFonts w:ascii="Cambria" w:hAnsi="Cambria" w:cstheme="minorHAnsi"/>
          <w:lang w:val="en-US"/>
        </w:rPr>
        <w:t xml:space="preserve"> discouraging their pursuit, other things being equal (</w:t>
      </w:r>
      <w:proofErr w:type="gramStart"/>
      <w:r w:rsidR="00614AB6" w:rsidRPr="008F68D6">
        <w:rPr>
          <w:rFonts w:ascii="Cambria" w:hAnsi="Cambria" w:cstheme="minorHAnsi"/>
          <w:lang w:val="en-US"/>
        </w:rPr>
        <w:t>i.e.</w:t>
      </w:r>
      <w:proofErr w:type="gramEnd"/>
      <w:r w:rsidR="00614AB6" w:rsidRPr="008F68D6">
        <w:rPr>
          <w:rFonts w:ascii="Cambria" w:hAnsi="Cambria" w:cstheme="minorHAnsi"/>
          <w:lang w:val="en-US"/>
        </w:rPr>
        <w:t xml:space="preserve"> in doing so the </w:t>
      </w:r>
      <w:r w:rsidR="000602F5" w:rsidRPr="008F68D6">
        <w:rPr>
          <w:rFonts w:ascii="Cambria" w:hAnsi="Cambria" w:cstheme="minorHAnsi"/>
          <w:lang w:val="en-US"/>
        </w:rPr>
        <w:t>s</w:t>
      </w:r>
      <w:r w:rsidR="00614AB6" w:rsidRPr="008F68D6">
        <w:rPr>
          <w:rFonts w:ascii="Cambria" w:hAnsi="Cambria" w:cstheme="minorHAnsi"/>
          <w:lang w:val="en-US"/>
        </w:rPr>
        <w:t>tate does not infringe on basic liberties)</w:t>
      </w:r>
      <w:r w:rsidR="00191CB2" w:rsidRPr="008F68D6">
        <w:rPr>
          <w:rFonts w:ascii="Cambria" w:hAnsi="Cambria" w:cstheme="minorHAnsi"/>
          <w:lang w:val="en-US"/>
        </w:rPr>
        <w:t>, does not diminish the value of personal autonomy.</w:t>
      </w:r>
      <w:r w:rsidR="000602F5" w:rsidRPr="008F68D6">
        <w:rPr>
          <w:rFonts w:ascii="Cambria" w:hAnsi="Cambria" w:cstheme="minorHAnsi"/>
          <w:lang w:val="en-US"/>
        </w:rPr>
        <w:t xml:space="preserve"> This is perhaps the main </w:t>
      </w:r>
      <w:r w:rsidR="00D25A7B" w:rsidRPr="008F68D6">
        <w:rPr>
          <w:rFonts w:ascii="Cambria" w:hAnsi="Cambria" w:cstheme="minorHAnsi"/>
          <w:lang w:val="en-US"/>
        </w:rPr>
        <w:t xml:space="preserve">idea lying behind </w:t>
      </w:r>
      <w:r w:rsidR="000602F5" w:rsidRPr="008F68D6">
        <w:rPr>
          <w:rFonts w:ascii="Cambria" w:hAnsi="Cambria" w:cstheme="minorHAnsi"/>
          <w:lang w:val="en-US"/>
        </w:rPr>
        <w:t xml:space="preserve">Raz’s </w:t>
      </w:r>
      <w:r w:rsidR="00D25A7B" w:rsidRPr="008F68D6">
        <w:rPr>
          <w:rFonts w:ascii="Cambria" w:hAnsi="Cambria" w:cstheme="minorHAnsi"/>
          <w:lang w:val="en-US"/>
        </w:rPr>
        <w:t xml:space="preserve">advance </w:t>
      </w:r>
      <w:r w:rsidR="000C298B" w:rsidRPr="008F68D6">
        <w:rPr>
          <w:rFonts w:ascii="Cambria" w:hAnsi="Cambria" w:cstheme="minorHAnsi"/>
          <w:lang w:val="en-US"/>
        </w:rPr>
        <w:t xml:space="preserve">of our understanding of ‘liberal </w:t>
      </w:r>
      <w:r w:rsidR="000602F5" w:rsidRPr="008F68D6">
        <w:rPr>
          <w:rFonts w:ascii="Cambria" w:hAnsi="Cambria" w:cstheme="minorHAnsi"/>
          <w:lang w:val="en-US"/>
        </w:rPr>
        <w:t>perfectionism</w:t>
      </w:r>
      <w:r w:rsidR="000C298B" w:rsidRPr="008F68D6">
        <w:rPr>
          <w:rFonts w:ascii="Cambria" w:hAnsi="Cambria" w:cstheme="minorHAnsi"/>
          <w:lang w:val="en-US"/>
        </w:rPr>
        <w:t>’.</w:t>
      </w:r>
      <w:r w:rsidR="00235317" w:rsidRPr="008F68D6">
        <w:rPr>
          <w:rStyle w:val="FootnoteReference"/>
          <w:rFonts w:ascii="Cambria" w:hAnsi="Cambria" w:cstheme="minorHAnsi"/>
          <w:lang w:val="en-US"/>
        </w:rPr>
        <w:footnoteReference w:id="8"/>
      </w:r>
      <w:r w:rsidR="000602F5" w:rsidRPr="008F68D6">
        <w:rPr>
          <w:rFonts w:ascii="Cambria" w:hAnsi="Cambria" w:cstheme="minorHAnsi"/>
          <w:lang w:val="en-US"/>
        </w:rPr>
        <w:t xml:space="preserve"> </w:t>
      </w:r>
    </w:p>
    <w:p w14:paraId="6FE98CED" w14:textId="1B89C9F3" w:rsidR="00287D07" w:rsidRPr="008F68D6" w:rsidRDefault="00287D07" w:rsidP="008F68D6">
      <w:pPr>
        <w:jc w:val="both"/>
        <w:rPr>
          <w:rFonts w:ascii="Cambria" w:hAnsi="Cambria" w:cstheme="minorHAnsi"/>
          <w:lang w:val="en-US"/>
        </w:rPr>
      </w:pPr>
    </w:p>
    <w:p w14:paraId="10153E08" w14:textId="21BBBF16" w:rsidR="000F70E7" w:rsidRPr="008F68D6" w:rsidRDefault="00F96EBA" w:rsidP="008F68D6">
      <w:pPr>
        <w:jc w:val="both"/>
        <w:rPr>
          <w:rFonts w:ascii="Cambria" w:hAnsi="Cambria" w:cstheme="minorHAnsi"/>
          <w:lang w:val="en-US"/>
        </w:rPr>
      </w:pPr>
      <w:r w:rsidRPr="008F68D6">
        <w:rPr>
          <w:rFonts w:ascii="Cambria" w:hAnsi="Cambria" w:cstheme="minorHAnsi"/>
          <w:lang w:val="en-US"/>
        </w:rPr>
        <w:t xml:space="preserve">Whilst I shall be discussing the extent to which the law </w:t>
      </w:r>
      <w:r w:rsidR="006961B1" w:rsidRPr="008F68D6">
        <w:rPr>
          <w:rFonts w:ascii="Cambria" w:hAnsi="Cambria" w:cstheme="minorHAnsi"/>
          <w:lang w:val="en-US"/>
        </w:rPr>
        <w:t>figures in the securing of those conditions, I think it is well to remark that Raz’s exploration of auto</w:t>
      </w:r>
      <w:r w:rsidR="001151BE" w:rsidRPr="008F68D6">
        <w:rPr>
          <w:rFonts w:ascii="Cambria" w:hAnsi="Cambria" w:cstheme="minorHAnsi"/>
          <w:lang w:val="en-US"/>
        </w:rPr>
        <w:t>nom</w:t>
      </w:r>
      <w:r w:rsidR="006961B1" w:rsidRPr="008F68D6">
        <w:rPr>
          <w:rFonts w:ascii="Cambria" w:hAnsi="Cambria" w:cstheme="minorHAnsi"/>
          <w:lang w:val="en-US"/>
        </w:rPr>
        <w:t xml:space="preserve">y says very little about how the law, as opposed to the </w:t>
      </w:r>
      <w:r w:rsidR="006961B1" w:rsidRPr="008F68D6">
        <w:rPr>
          <w:rFonts w:ascii="Cambria" w:hAnsi="Cambria" w:cstheme="minorHAnsi"/>
          <w:i/>
          <w:iCs/>
          <w:lang w:val="en-US"/>
        </w:rPr>
        <w:t xml:space="preserve">state, </w:t>
      </w:r>
      <w:r w:rsidR="004B6E2C" w:rsidRPr="008F68D6">
        <w:rPr>
          <w:rFonts w:ascii="Cambria" w:hAnsi="Cambria" w:cstheme="minorHAnsi"/>
          <w:lang w:val="en-US"/>
        </w:rPr>
        <w:t xml:space="preserve">so figures. </w:t>
      </w:r>
      <w:r w:rsidR="003E3F03" w:rsidRPr="008F68D6">
        <w:rPr>
          <w:rFonts w:ascii="Cambria" w:hAnsi="Cambria" w:cstheme="minorHAnsi"/>
          <w:lang w:val="en-US"/>
        </w:rPr>
        <w:t xml:space="preserve">As far as autonomy goes, </w:t>
      </w:r>
      <w:r w:rsidR="004B6E2C" w:rsidRPr="008F68D6">
        <w:rPr>
          <w:rFonts w:ascii="Cambria" w:hAnsi="Cambria" w:cstheme="minorHAnsi"/>
          <w:lang w:val="en-US"/>
        </w:rPr>
        <w:t>Raz’s princip</w:t>
      </w:r>
      <w:r w:rsidR="00F066E3" w:rsidRPr="008F68D6">
        <w:rPr>
          <w:rFonts w:ascii="Cambria" w:hAnsi="Cambria" w:cstheme="minorHAnsi"/>
          <w:lang w:val="en-US"/>
        </w:rPr>
        <w:t>al</w:t>
      </w:r>
      <w:r w:rsidR="004B6E2C" w:rsidRPr="008F68D6">
        <w:rPr>
          <w:rFonts w:ascii="Cambria" w:hAnsi="Cambria" w:cstheme="minorHAnsi"/>
          <w:lang w:val="en-US"/>
        </w:rPr>
        <w:t xml:space="preserve"> concern in </w:t>
      </w:r>
      <w:r w:rsidR="004B6E2C" w:rsidRPr="008F68D6">
        <w:rPr>
          <w:rFonts w:ascii="Cambria" w:hAnsi="Cambria" w:cstheme="minorHAnsi"/>
          <w:i/>
          <w:iCs/>
          <w:lang w:val="en-US"/>
        </w:rPr>
        <w:t xml:space="preserve">The Morality of </w:t>
      </w:r>
      <w:r w:rsidR="003E3F03" w:rsidRPr="008F68D6">
        <w:rPr>
          <w:rFonts w:ascii="Cambria" w:hAnsi="Cambria" w:cstheme="minorHAnsi"/>
          <w:i/>
          <w:iCs/>
          <w:lang w:val="en-US"/>
        </w:rPr>
        <w:t>Freedom</w:t>
      </w:r>
      <w:r w:rsidR="003E3F03" w:rsidRPr="008F68D6">
        <w:rPr>
          <w:rFonts w:ascii="Cambria" w:hAnsi="Cambria" w:cstheme="minorHAnsi"/>
          <w:lang w:val="en-US"/>
        </w:rPr>
        <w:t xml:space="preserve"> was to establish </w:t>
      </w:r>
      <w:r w:rsidR="00F80A74" w:rsidRPr="008F68D6">
        <w:rPr>
          <w:rFonts w:ascii="Cambria" w:hAnsi="Cambria" w:cstheme="minorHAnsi"/>
          <w:lang w:val="en-US"/>
        </w:rPr>
        <w:t xml:space="preserve">a characterisation of freedom on the basis of which a state could legitimately adopt autonomy as one </w:t>
      </w:r>
      <w:r w:rsidR="0075668A">
        <w:rPr>
          <w:rFonts w:ascii="Cambria" w:hAnsi="Cambria" w:cstheme="minorHAnsi"/>
          <w:lang w:val="en-US"/>
        </w:rPr>
        <w:t xml:space="preserve">of </w:t>
      </w:r>
      <w:r w:rsidR="00F80A74" w:rsidRPr="008F68D6">
        <w:rPr>
          <w:rFonts w:ascii="Cambria" w:hAnsi="Cambria" w:cstheme="minorHAnsi"/>
          <w:lang w:val="en-US"/>
        </w:rPr>
        <w:t xml:space="preserve">its primary concerns, </w:t>
      </w:r>
      <w:r w:rsidR="00E21052" w:rsidRPr="008F68D6">
        <w:rPr>
          <w:rFonts w:ascii="Cambria" w:hAnsi="Cambria" w:cstheme="minorHAnsi"/>
          <w:lang w:val="en-US"/>
        </w:rPr>
        <w:t xml:space="preserve">thus </w:t>
      </w:r>
      <w:r w:rsidR="00DD6288">
        <w:rPr>
          <w:rFonts w:ascii="Cambria" w:hAnsi="Cambria" w:cstheme="minorHAnsi"/>
          <w:lang w:val="en-US"/>
        </w:rPr>
        <w:t>making</w:t>
      </w:r>
      <w:r w:rsidR="00E21052" w:rsidRPr="008F68D6">
        <w:rPr>
          <w:rFonts w:ascii="Cambria" w:hAnsi="Cambria" w:cstheme="minorHAnsi"/>
          <w:lang w:val="en-US"/>
        </w:rPr>
        <w:t xml:space="preserve"> legitimate its acting on that concern.</w:t>
      </w:r>
      <w:r w:rsidR="00E84AC9" w:rsidRPr="008F68D6">
        <w:rPr>
          <w:rFonts w:ascii="Cambria" w:hAnsi="Cambria" w:cstheme="minorHAnsi"/>
          <w:lang w:val="en-US"/>
        </w:rPr>
        <w:t xml:space="preserve"> Where the law </w:t>
      </w:r>
      <w:r w:rsidR="00E84AC9" w:rsidRPr="008F68D6">
        <w:rPr>
          <w:rFonts w:ascii="Cambria" w:hAnsi="Cambria" w:cstheme="minorHAnsi"/>
          <w:i/>
          <w:iCs/>
          <w:lang w:val="en-US"/>
        </w:rPr>
        <w:t>per se</w:t>
      </w:r>
      <w:r w:rsidR="00E84AC9" w:rsidRPr="008F68D6">
        <w:rPr>
          <w:rFonts w:ascii="Cambria" w:hAnsi="Cambria" w:cstheme="minorHAnsi"/>
          <w:lang w:val="en-US"/>
        </w:rPr>
        <w:t xml:space="preserve">, </w:t>
      </w:r>
      <w:r w:rsidR="00620295" w:rsidRPr="008F68D6">
        <w:rPr>
          <w:rFonts w:ascii="Cambria" w:hAnsi="Cambria" w:cstheme="minorHAnsi"/>
          <w:lang w:val="en-US"/>
        </w:rPr>
        <w:t xml:space="preserve">as one </w:t>
      </w:r>
      <w:r w:rsidR="00DF0068" w:rsidRPr="008F68D6">
        <w:rPr>
          <w:rFonts w:ascii="Cambria" w:hAnsi="Cambria" w:cstheme="minorHAnsi"/>
          <w:lang w:val="en-US"/>
        </w:rPr>
        <w:t xml:space="preserve">way in which a state acts, </w:t>
      </w:r>
      <w:r w:rsidR="00E84AC9" w:rsidRPr="008F68D6">
        <w:rPr>
          <w:rFonts w:ascii="Cambria" w:hAnsi="Cambria" w:cstheme="minorHAnsi"/>
          <w:lang w:val="en-US"/>
        </w:rPr>
        <w:t xml:space="preserve">figured in that </w:t>
      </w:r>
      <w:r w:rsidR="00BB2F7F" w:rsidRPr="008F68D6">
        <w:rPr>
          <w:rFonts w:ascii="Cambria" w:hAnsi="Cambria" w:cstheme="minorHAnsi"/>
          <w:lang w:val="en-US"/>
        </w:rPr>
        <w:t xml:space="preserve">scheme </w:t>
      </w:r>
      <w:r w:rsidR="00620295" w:rsidRPr="008F68D6">
        <w:rPr>
          <w:rFonts w:ascii="Cambria" w:hAnsi="Cambria" w:cstheme="minorHAnsi"/>
          <w:lang w:val="en-US"/>
        </w:rPr>
        <w:t xml:space="preserve">is not something Raz specifically addressed as far as I can see. </w:t>
      </w:r>
      <w:proofErr w:type="gramStart"/>
      <w:r w:rsidR="00620295" w:rsidRPr="008F68D6">
        <w:rPr>
          <w:rFonts w:ascii="Cambria" w:hAnsi="Cambria" w:cstheme="minorHAnsi"/>
          <w:lang w:val="en-US"/>
        </w:rPr>
        <w:t>So</w:t>
      </w:r>
      <w:proofErr w:type="gramEnd"/>
      <w:r w:rsidR="00620295" w:rsidRPr="008F68D6">
        <w:rPr>
          <w:rFonts w:ascii="Cambria" w:hAnsi="Cambria" w:cstheme="minorHAnsi"/>
          <w:lang w:val="en-US"/>
        </w:rPr>
        <w:t xml:space="preserve"> </w:t>
      </w:r>
      <w:r w:rsidR="00BB2F7F" w:rsidRPr="008F68D6">
        <w:rPr>
          <w:rFonts w:ascii="Cambria" w:hAnsi="Cambria" w:cstheme="minorHAnsi"/>
          <w:lang w:val="en-US"/>
        </w:rPr>
        <w:t>we must speculate, or at least extrapolate.</w:t>
      </w:r>
    </w:p>
    <w:p w14:paraId="249754C0" w14:textId="5C9B1739" w:rsidR="007A7CDA" w:rsidRPr="008F68D6" w:rsidRDefault="007A7CDA" w:rsidP="008F68D6">
      <w:pPr>
        <w:jc w:val="both"/>
        <w:rPr>
          <w:rFonts w:ascii="Cambria" w:hAnsi="Cambria" w:cstheme="minorHAnsi"/>
          <w:lang w:val="en-US"/>
        </w:rPr>
      </w:pPr>
    </w:p>
    <w:p w14:paraId="24ABBED5" w14:textId="70FC7C2E" w:rsidR="000F136D" w:rsidRPr="008F68D6" w:rsidRDefault="0005497E" w:rsidP="008F68D6">
      <w:pPr>
        <w:jc w:val="both"/>
        <w:rPr>
          <w:rFonts w:ascii="Cambria" w:hAnsi="Cambria" w:cstheme="minorHAnsi"/>
          <w:lang w:val="en-US"/>
        </w:rPr>
      </w:pPr>
      <w:r w:rsidRPr="008F68D6">
        <w:rPr>
          <w:rFonts w:ascii="Cambria" w:hAnsi="Cambria" w:cstheme="minorHAnsi"/>
          <w:lang w:val="en-US"/>
        </w:rPr>
        <w:t>There are a</w:t>
      </w:r>
      <w:r w:rsidR="007A7CDA" w:rsidRPr="008F68D6">
        <w:rPr>
          <w:rFonts w:ascii="Cambria" w:hAnsi="Cambria" w:cstheme="minorHAnsi"/>
          <w:lang w:val="en-US"/>
        </w:rPr>
        <w:t xml:space="preserve"> few furthe</w:t>
      </w:r>
      <w:r w:rsidR="00A81EE2">
        <w:rPr>
          <w:rFonts w:ascii="Cambria" w:hAnsi="Cambria" w:cstheme="minorHAnsi"/>
          <w:lang w:val="en-US"/>
        </w:rPr>
        <w:t>r</w:t>
      </w:r>
      <w:r w:rsidR="007A7CDA" w:rsidRPr="008F68D6">
        <w:rPr>
          <w:rFonts w:ascii="Cambria" w:hAnsi="Cambria" w:cstheme="minorHAnsi"/>
          <w:lang w:val="en-US"/>
        </w:rPr>
        <w:t xml:space="preserve"> featu</w:t>
      </w:r>
      <w:r w:rsidR="005D0881" w:rsidRPr="008F68D6">
        <w:rPr>
          <w:rFonts w:ascii="Cambria" w:hAnsi="Cambria" w:cstheme="minorHAnsi"/>
          <w:lang w:val="en-US"/>
        </w:rPr>
        <w:t>res of Raz’s conception of autonomy</w:t>
      </w:r>
      <w:r w:rsidRPr="008F68D6">
        <w:rPr>
          <w:rFonts w:ascii="Cambria" w:hAnsi="Cambria" w:cstheme="minorHAnsi"/>
          <w:lang w:val="en-US"/>
        </w:rPr>
        <w:t xml:space="preserve"> relevant to our purposes</w:t>
      </w:r>
      <w:r w:rsidR="005D0881" w:rsidRPr="008F68D6">
        <w:rPr>
          <w:rFonts w:ascii="Cambria" w:hAnsi="Cambria" w:cstheme="minorHAnsi"/>
          <w:lang w:val="en-US"/>
        </w:rPr>
        <w:t xml:space="preserve">. The importance of autonomy for us does not mean that autonomy is the universal ground for achieving a flourishing life. </w:t>
      </w:r>
      <w:r w:rsidR="008109F4" w:rsidRPr="008F68D6">
        <w:rPr>
          <w:rFonts w:ascii="Cambria" w:hAnsi="Cambria" w:cstheme="minorHAnsi"/>
          <w:lang w:val="en-US"/>
        </w:rPr>
        <w:t>It is important for us given the social (economic, political, technological) conditions we inhabit.</w:t>
      </w:r>
    </w:p>
    <w:p w14:paraId="6D6D93D9" w14:textId="1FCDE691" w:rsidR="003375D3" w:rsidRPr="008F68D6" w:rsidRDefault="003375D3" w:rsidP="008F68D6">
      <w:pPr>
        <w:jc w:val="both"/>
        <w:rPr>
          <w:rFonts w:ascii="Cambria" w:hAnsi="Cambria" w:cstheme="minorHAnsi"/>
          <w:lang w:val="en-US"/>
        </w:rPr>
      </w:pPr>
    </w:p>
    <w:p w14:paraId="39131088" w14:textId="77D00B90" w:rsidR="003375D3" w:rsidRPr="008F68D6" w:rsidRDefault="003375D3" w:rsidP="008F68D6">
      <w:pPr>
        <w:ind w:left="720"/>
        <w:jc w:val="both"/>
        <w:rPr>
          <w:rFonts w:ascii="Cambria" w:hAnsi="Cambria" w:cstheme="minorHAnsi"/>
          <w:lang w:val="en-US"/>
        </w:rPr>
      </w:pPr>
      <w:r w:rsidRPr="008F68D6">
        <w:rPr>
          <w:rFonts w:ascii="Cambria" w:hAnsi="Cambria" w:cstheme="minorHAnsi"/>
          <w:lang w:val="en-US"/>
        </w:rPr>
        <w:t>[The autonomous life]</w:t>
      </w:r>
      <w:r w:rsidR="008B47F8" w:rsidRPr="008F68D6">
        <w:rPr>
          <w:rFonts w:ascii="Cambria" w:hAnsi="Cambria" w:cstheme="minorHAnsi"/>
          <w:lang w:val="en-US"/>
        </w:rPr>
        <w:t xml:space="preserve"> depends on the general character of one’s environment and culture. For those who live in an autonomy</w:t>
      </w:r>
      <w:r w:rsidR="006A71E2" w:rsidRPr="008F68D6">
        <w:rPr>
          <w:rFonts w:ascii="Cambria" w:hAnsi="Cambria" w:cstheme="minorHAnsi"/>
          <w:lang w:val="en-US"/>
        </w:rPr>
        <w:t>-supporting environment there is no choice but to be autonomous: there is no other way</w:t>
      </w:r>
      <w:r w:rsidR="003702C3" w:rsidRPr="008F68D6">
        <w:rPr>
          <w:rFonts w:ascii="Cambria" w:hAnsi="Cambria" w:cstheme="minorHAnsi"/>
          <w:lang w:val="en-US"/>
        </w:rPr>
        <w:t xml:space="preserve"> to prosper in such a society.</w:t>
      </w:r>
      <w:r w:rsidR="003702C3" w:rsidRPr="008F68D6">
        <w:rPr>
          <w:rStyle w:val="FootnoteReference"/>
          <w:rFonts w:ascii="Cambria" w:hAnsi="Cambria" w:cstheme="minorHAnsi"/>
          <w:lang w:val="en-US"/>
        </w:rPr>
        <w:footnoteReference w:id="9"/>
      </w:r>
    </w:p>
    <w:p w14:paraId="7633C658" w14:textId="77777777" w:rsidR="000F136D" w:rsidRPr="008F68D6" w:rsidRDefault="000F136D" w:rsidP="008F68D6">
      <w:pPr>
        <w:jc w:val="both"/>
        <w:rPr>
          <w:rFonts w:ascii="Cambria" w:hAnsi="Cambria" w:cstheme="minorHAnsi"/>
          <w:lang w:val="en-US"/>
        </w:rPr>
      </w:pPr>
    </w:p>
    <w:p w14:paraId="2C29DEE6" w14:textId="6F8FEB3A" w:rsidR="00740DF0" w:rsidRDefault="00202ECD" w:rsidP="008F68D6">
      <w:pPr>
        <w:jc w:val="both"/>
        <w:rPr>
          <w:rFonts w:ascii="Cambria" w:hAnsi="Cambria" w:cstheme="minorHAnsi"/>
          <w:lang w:val="en-US"/>
        </w:rPr>
      </w:pPr>
      <w:r w:rsidRPr="008F68D6">
        <w:rPr>
          <w:rFonts w:ascii="Cambria" w:hAnsi="Cambria" w:cstheme="minorHAnsi"/>
          <w:lang w:val="en-US"/>
        </w:rPr>
        <w:t xml:space="preserve">Part of what figures in understanding the value of autonomy is the fact that there are many </w:t>
      </w:r>
      <w:r w:rsidR="002B1B1B" w:rsidRPr="008F68D6">
        <w:rPr>
          <w:rFonts w:ascii="Cambria" w:hAnsi="Cambria" w:cstheme="minorHAnsi"/>
          <w:lang w:val="en-US"/>
        </w:rPr>
        <w:t xml:space="preserve">flourishing lives </w:t>
      </w:r>
      <w:r w:rsidR="00C073AD">
        <w:rPr>
          <w:rFonts w:ascii="Cambria" w:hAnsi="Cambria" w:cstheme="minorHAnsi"/>
          <w:lang w:val="en-US"/>
        </w:rPr>
        <w:t>that</w:t>
      </w:r>
      <w:r w:rsidR="002B1B1B" w:rsidRPr="008F68D6">
        <w:rPr>
          <w:rFonts w:ascii="Cambria" w:hAnsi="Cambria" w:cstheme="minorHAnsi"/>
          <w:lang w:val="en-US"/>
        </w:rPr>
        <w:t xml:space="preserve"> an individual can lead despite that fact that those lives will </w:t>
      </w:r>
      <w:proofErr w:type="spellStart"/>
      <w:r w:rsidR="002B1B1B" w:rsidRPr="008F68D6">
        <w:rPr>
          <w:rFonts w:ascii="Cambria" w:hAnsi="Cambria" w:cstheme="minorHAnsi"/>
          <w:lang w:val="en-US"/>
        </w:rPr>
        <w:t>realise</w:t>
      </w:r>
      <w:proofErr w:type="spellEnd"/>
      <w:r w:rsidR="002B1B1B" w:rsidRPr="008F68D6">
        <w:rPr>
          <w:rFonts w:ascii="Cambria" w:hAnsi="Cambria" w:cstheme="minorHAnsi"/>
          <w:lang w:val="en-US"/>
        </w:rPr>
        <w:t xml:space="preserve"> different, incommensurable</w:t>
      </w:r>
      <w:r w:rsidR="003237E5">
        <w:rPr>
          <w:rFonts w:ascii="Cambria" w:hAnsi="Cambria" w:cstheme="minorHAnsi"/>
          <w:lang w:val="en-US"/>
        </w:rPr>
        <w:t>,</w:t>
      </w:r>
      <w:r w:rsidR="002B1B1B" w:rsidRPr="008F68D6">
        <w:rPr>
          <w:rFonts w:ascii="Cambria" w:hAnsi="Cambria" w:cstheme="minorHAnsi"/>
          <w:lang w:val="en-US"/>
        </w:rPr>
        <w:t xml:space="preserve"> values.</w:t>
      </w:r>
      <w:r w:rsidR="00B86CDF" w:rsidRPr="008F68D6">
        <w:rPr>
          <w:rStyle w:val="FootnoteReference"/>
          <w:rFonts w:ascii="Cambria" w:hAnsi="Cambria" w:cstheme="minorHAnsi"/>
          <w:lang w:val="en-US"/>
        </w:rPr>
        <w:footnoteReference w:id="10"/>
      </w:r>
      <w:r w:rsidR="002B1B1B" w:rsidRPr="008F68D6">
        <w:rPr>
          <w:rFonts w:ascii="Cambria" w:hAnsi="Cambria" w:cstheme="minorHAnsi"/>
          <w:lang w:val="en-US"/>
        </w:rPr>
        <w:t xml:space="preserve"> </w:t>
      </w:r>
      <w:r w:rsidR="005F585D" w:rsidRPr="008F68D6">
        <w:rPr>
          <w:rFonts w:ascii="Cambria" w:hAnsi="Cambria" w:cstheme="minorHAnsi"/>
          <w:lang w:val="en-US"/>
        </w:rPr>
        <w:t>Different occupations, the pursuit of different kinds of art</w:t>
      </w:r>
      <w:r w:rsidR="007A2875">
        <w:rPr>
          <w:rFonts w:ascii="Cambria" w:hAnsi="Cambria" w:cstheme="minorHAnsi"/>
          <w:lang w:val="en-US"/>
        </w:rPr>
        <w:t xml:space="preserve"> and science</w:t>
      </w:r>
      <w:r w:rsidR="005F585D" w:rsidRPr="008F68D6">
        <w:rPr>
          <w:rFonts w:ascii="Cambria" w:hAnsi="Cambria" w:cstheme="minorHAnsi"/>
          <w:lang w:val="en-US"/>
        </w:rPr>
        <w:t xml:space="preserve">, the </w:t>
      </w:r>
      <w:r w:rsidR="00A56103" w:rsidRPr="008F68D6">
        <w:rPr>
          <w:rFonts w:ascii="Cambria" w:hAnsi="Cambria" w:cstheme="minorHAnsi"/>
          <w:lang w:val="en-US"/>
        </w:rPr>
        <w:t xml:space="preserve">life of contemplation versus the life of action, are all available, and </w:t>
      </w:r>
      <w:r w:rsidR="00FA4293" w:rsidRPr="008F68D6">
        <w:rPr>
          <w:rFonts w:ascii="Cambria" w:hAnsi="Cambria" w:cstheme="minorHAnsi"/>
          <w:lang w:val="en-US"/>
        </w:rPr>
        <w:t xml:space="preserve">no </w:t>
      </w:r>
      <w:r w:rsidR="00522DF9">
        <w:rPr>
          <w:rFonts w:ascii="Cambria" w:hAnsi="Cambria" w:cstheme="minorHAnsi"/>
          <w:lang w:val="en-US"/>
        </w:rPr>
        <w:t xml:space="preserve">one </w:t>
      </w:r>
      <w:r w:rsidR="00FA4293" w:rsidRPr="008F68D6">
        <w:rPr>
          <w:rFonts w:ascii="Cambria" w:hAnsi="Cambria" w:cstheme="minorHAnsi"/>
          <w:lang w:val="en-US"/>
        </w:rPr>
        <w:t xml:space="preserve">life can </w:t>
      </w:r>
      <w:proofErr w:type="spellStart"/>
      <w:r w:rsidR="00FA4293" w:rsidRPr="008F68D6">
        <w:rPr>
          <w:rFonts w:ascii="Cambria" w:hAnsi="Cambria" w:cstheme="minorHAnsi"/>
          <w:lang w:val="en-US"/>
        </w:rPr>
        <w:t>realise</w:t>
      </w:r>
      <w:proofErr w:type="spellEnd"/>
      <w:r w:rsidR="00FA4293" w:rsidRPr="008F68D6">
        <w:rPr>
          <w:rFonts w:ascii="Cambria" w:hAnsi="Cambria" w:cstheme="minorHAnsi"/>
          <w:lang w:val="en-US"/>
        </w:rPr>
        <w:t xml:space="preserve"> fully or at all many of the values available to us, but this is no tragedy. It is the human condition</w:t>
      </w:r>
      <w:r w:rsidR="00F72947" w:rsidRPr="008F68D6">
        <w:rPr>
          <w:rFonts w:ascii="Cambria" w:hAnsi="Cambria" w:cstheme="minorHAnsi"/>
          <w:lang w:val="en-US"/>
        </w:rPr>
        <w:t xml:space="preserve"> for us</w:t>
      </w:r>
      <w:r w:rsidR="00FA4293" w:rsidRPr="008F68D6">
        <w:rPr>
          <w:rFonts w:ascii="Cambria" w:hAnsi="Cambria" w:cstheme="minorHAnsi"/>
          <w:lang w:val="en-US"/>
        </w:rPr>
        <w:t xml:space="preserve">, and since each life can be a flourishing life, </w:t>
      </w:r>
      <w:r w:rsidR="00127A8D" w:rsidRPr="008F68D6">
        <w:rPr>
          <w:rFonts w:ascii="Cambria" w:hAnsi="Cambria" w:cstheme="minorHAnsi"/>
          <w:lang w:val="en-US"/>
        </w:rPr>
        <w:t>we have nothing to regret on th</w:t>
      </w:r>
      <w:r w:rsidR="00522DF9">
        <w:rPr>
          <w:rFonts w:ascii="Cambria" w:hAnsi="Cambria" w:cstheme="minorHAnsi"/>
          <w:lang w:val="en-US"/>
        </w:rPr>
        <w:t>at</w:t>
      </w:r>
      <w:r w:rsidR="00127A8D" w:rsidRPr="008F68D6">
        <w:rPr>
          <w:rFonts w:ascii="Cambria" w:hAnsi="Cambria" w:cstheme="minorHAnsi"/>
          <w:lang w:val="en-US"/>
        </w:rPr>
        <w:t xml:space="preserve"> score. Finally, many of these values are dependent upon th</w:t>
      </w:r>
      <w:r w:rsidR="00FD1415">
        <w:rPr>
          <w:rFonts w:ascii="Cambria" w:hAnsi="Cambria" w:cstheme="minorHAnsi"/>
          <w:lang w:val="en-US"/>
        </w:rPr>
        <w:t>e</w:t>
      </w:r>
      <w:r w:rsidR="00127A8D" w:rsidRPr="008F68D6">
        <w:rPr>
          <w:rFonts w:ascii="Cambria" w:hAnsi="Cambria" w:cstheme="minorHAnsi"/>
          <w:lang w:val="en-US"/>
        </w:rPr>
        <w:t>r</w:t>
      </w:r>
      <w:r w:rsidR="00FD1415">
        <w:rPr>
          <w:rFonts w:ascii="Cambria" w:hAnsi="Cambria" w:cstheme="minorHAnsi"/>
          <w:lang w:val="en-US"/>
        </w:rPr>
        <w:t>e</w:t>
      </w:r>
      <w:r w:rsidR="00127A8D" w:rsidRPr="008F68D6">
        <w:rPr>
          <w:rFonts w:ascii="Cambria" w:hAnsi="Cambria" w:cstheme="minorHAnsi"/>
          <w:lang w:val="en-US"/>
        </w:rPr>
        <w:t xml:space="preserve"> being appropriate social conditions</w:t>
      </w:r>
      <w:r w:rsidR="00552D85" w:rsidRPr="008F68D6">
        <w:rPr>
          <w:rFonts w:ascii="Cambria" w:hAnsi="Cambria" w:cstheme="minorHAnsi"/>
          <w:lang w:val="en-US"/>
        </w:rPr>
        <w:t>.</w:t>
      </w:r>
      <w:r w:rsidR="009C7584" w:rsidRPr="008F68D6">
        <w:rPr>
          <w:rStyle w:val="FootnoteReference"/>
          <w:rFonts w:ascii="Cambria" w:hAnsi="Cambria" w:cstheme="minorHAnsi"/>
          <w:lang w:val="en-US"/>
        </w:rPr>
        <w:footnoteReference w:id="11"/>
      </w:r>
      <w:r w:rsidR="00127A8D" w:rsidRPr="008F68D6">
        <w:rPr>
          <w:rFonts w:ascii="Cambria" w:hAnsi="Cambria" w:cstheme="minorHAnsi"/>
          <w:lang w:val="en-US"/>
        </w:rPr>
        <w:t xml:space="preserve"> </w:t>
      </w:r>
      <w:r w:rsidR="00552D85" w:rsidRPr="008F68D6">
        <w:rPr>
          <w:rFonts w:ascii="Cambria" w:hAnsi="Cambria" w:cstheme="minorHAnsi"/>
          <w:lang w:val="en-US"/>
        </w:rPr>
        <w:t>O</w:t>
      </w:r>
      <w:r w:rsidR="00127A8D" w:rsidRPr="008F68D6">
        <w:rPr>
          <w:rFonts w:ascii="Cambria" w:hAnsi="Cambria" w:cstheme="minorHAnsi"/>
          <w:lang w:val="en-US"/>
        </w:rPr>
        <w:t xml:space="preserve">f many </w:t>
      </w:r>
      <w:r w:rsidR="00B520FF" w:rsidRPr="008F68D6">
        <w:rPr>
          <w:rFonts w:ascii="Cambria" w:hAnsi="Cambria" w:cstheme="minorHAnsi"/>
          <w:lang w:val="en-US"/>
        </w:rPr>
        <w:t xml:space="preserve">such values </w:t>
      </w:r>
      <w:r w:rsidR="00EB36DE">
        <w:rPr>
          <w:rFonts w:ascii="Cambria" w:hAnsi="Cambria" w:cstheme="minorHAnsi"/>
          <w:lang w:val="en-US"/>
        </w:rPr>
        <w:t xml:space="preserve">or sources of valuable </w:t>
      </w:r>
      <w:r w:rsidR="00127A8D" w:rsidRPr="008F68D6">
        <w:rPr>
          <w:rFonts w:ascii="Cambria" w:hAnsi="Cambria" w:cstheme="minorHAnsi"/>
          <w:lang w:val="en-US"/>
        </w:rPr>
        <w:t xml:space="preserve">available to us, like the game of tennis, or the </w:t>
      </w:r>
      <w:r w:rsidR="0061796F" w:rsidRPr="008F68D6">
        <w:rPr>
          <w:rFonts w:ascii="Cambria" w:hAnsi="Cambria" w:cstheme="minorHAnsi"/>
          <w:lang w:val="en-US"/>
        </w:rPr>
        <w:t>occupation of neuroscientist,</w:t>
      </w:r>
      <w:r w:rsidR="00127A8D" w:rsidRPr="008F68D6">
        <w:rPr>
          <w:rFonts w:ascii="Cambria" w:hAnsi="Cambria" w:cstheme="minorHAnsi"/>
          <w:lang w:val="en-US"/>
        </w:rPr>
        <w:t xml:space="preserve"> we can say they were not available to </w:t>
      </w:r>
      <w:r w:rsidR="00B520FF" w:rsidRPr="008F68D6">
        <w:rPr>
          <w:rFonts w:ascii="Cambria" w:hAnsi="Cambria" w:cstheme="minorHAnsi"/>
          <w:lang w:val="en-US"/>
        </w:rPr>
        <w:t>individuals</w:t>
      </w:r>
      <w:r w:rsidR="0061796F" w:rsidRPr="008F68D6">
        <w:rPr>
          <w:rFonts w:ascii="Cambria" w:hAnsi="Cambria" w:cstheme="minorHAnsi"/>
          <w:lang w:val="en-US"/>
        </w:rPr>
        <w:t xml:space="preserve"> in different times and places. More</w:t>
      </w:r>
      <w:r w:rsidR="00B520FF" w:rsidRPr="008F68D6">
        <w:rPr>
          <w:rFonts w:ascii="Cambria" w:hAnsi="Cambria" w:cstheme="minorHAnsi"/>
          <w:lang w:val="en-US"/>
        </w:rPr>
        <w:t>o</w:t>
      </w:r>
      <w:r w:rsidR="0061796F" w:rsidRPr="008F68D6">
        <w:rPr>
          <w:rFonts w:ascii="Cambria" w:hAnsi="Cambria" w:cstheme="minorHAnsi"/>
          <w:lang w:val="en-US"/>
        </w:rPr>
        <w:t xml:space="preserve">ver, </w:t>
      </w:r>
      <w:r w:rsidR="009525E2" w:rsidRPr="008F68D6">
        <w:rPr>
          <w:rFonts w:ascii="Cambria" w:hAnsi="Cambria" w:cstheme="minorHAnsi"/>
          <w:lang w:val="en-US"/>
        </w:rPr>
        <w:t xml:space="preserve">values are typically very much shaped in our understanding of them by the social conditions in which we seek to </w:t>
      </w:r>
      <w:proofErr w:type="spellStart"/>
      <w:r w:rsidR="009525E2" w:rsidRPr="008F68D6">
        <w:rPr>
          <w:rFonts w:ascii="Cambria" w:hAnsi="Cambria" w:cstheme="minorHAnsi"/>
          <w:lang w:val="en-US"/>
        </w:rPr>
        <w:t>realise</w:t>
      </w:r>
      <w:proofErr w:type="spellEnd"/>
      <w:r w:rsidR="009525E2" w:rsidRPr="008F68D6">
        <w:rPr>
          <w:rFonts w:ascii="Cambria" w:hAnsi="Cambria" w:cstheme="minorHAnsi"/>
          <w:lang w:val="en-US"/>
        </w:rPr>
        <w:t xml:space="preserve"> them</w:t>
      </w:r>
      <w:r w:rsidR="00A230E6" w:rsidRPr="008F68D6">
        <w:rPr>
          <w:rFonts w:ascii="Cambria" w:hAnsi="Cambria" w:cstheme="minorHAnsi"/>
          <w:lang w:val="en-US"/>
        </w:rPr>
        <w:t xml:space="preserve">, giving them </w:t>
      </w:r>
      <w:r w:rsidR="00F52EB1" w:rsidRPr="008F68D6">
        <w:rPr>
          <w:rFonts w:ascii="Cambria" w:hAnsi="Cambria" w:cstheme="minorHAnsi"/>
          <w:lang w:val="en-US"/>
        </w:rPr>
        <w:t>a ‘cultural meaning’</w:t>
      </w:r>
      <w:r w:rsidR="009525E2" w:rsidRPr="008F68D6">
        <w:rPr>
          <w:rFonts w:ascii="Cambria" w:hAnsi="Cambria" w:cstheme="minorHAnsi"/>
          <w:lang w:val="en-US"/>
        </w:rPr>
        <w:t>.</w:t>
      </w:r>
      <w:r w:rsidR="00F52EB1" w:rsidRPr="008F68D6">
        <w:rPr>
          <w:rStyle w:val="FootnoteReference"/>
          <w:rFonts w:ascii="Cambria" w:hAnsi="Cambria" w:cstheme="minorHAnsi"/>
          <w:lang w:val="en-US"/>
        </w:rPr>
        <w:footnoteReference w:id="12"/>
      </w:r>
      <w:r w:rsidR="009525E2" w:rsidRPr="008F68D6">
        <w:rPr>
          <w:rFonts w:ascii="Cambria" w:hAnsi="Cambria" w:cstheme="minorHAnsi"/>
          <w:lang w:val="en-US"/>
        </w:rPr>
        <w:t xml:space="preserve"> For </w:t>
      </w:r>
      <w:r w:rsidR="00770EFE" w:rsidRPr="008F68D6">
        <w:rPr>
          <w:rFonts w:ascii="Cambria" w:hAnsi="Cambria" w:cstheme="minorHAnsi"/>
          <w:lang w:val="en-US"/>
        </w:rPr>
        <w:t xml:space="preserve">one of a multitude of </w:t>
      </w:r>
      <w:r w:rsidR="009525E2" w:rsidRPr="008F68D6">
        <w:rPr>
          <w:rFonts w:ascii="Cambria" w:hAnsi="Cambria" w:cstheme="minorHAnsi"/>
          <w:lang w:val="en-US"/>
        </w:rPr>
        <w:t>example</w:t>
      </w:r>
      <w:r w:rsidR="00770EFE" w:rsidRPr="008F68D6">
        <w:rPr>
          <w:rFonts w:ascii="Cambria" w:hAnsi="Cambria" w:cstheme="minorHAnsi"/>
          <w:lang w:val="en-US"/>
        </w:rPr>
        <w:t>s</w:t>
      </w:r>
      <w:r w:rsidR="009525E2" w:rsidRPr="008F68D6">
        <w:rPr>
          <w:rFonts w:ascii="Cambria" w:hAnsi="Cambria" w:cstheme="minorHAnsi"/>
          <w:lang w:val="en-US"/>
        </w:rPr>
        <w:t>,</w:t>
      </w:r>
      <w:r w:rsidR="00770EFE" w:rsidRPr="008F68D6">
        <w:rPr>
          <w:rStyle w:val="FootnoteReference"/>
          <w:rFonts w:ascii="Cambria" w:hAnsi="Cambria" w:cstheme="minorHAnsi"/>
          <w:lang w:val="en-US"/>
        </w:rPr>
        <w:footnoteReference w:id="13"/>
      </w:r>
      <w:r w:rsidR="009525E2" w:rsidRPr="008F68D6">
        <w:rPr>
          <w:rFonts w:ascii="Cambria" w:hAnsi="Cambria" w:cstheme="minorHAnsi"/>
          <w:lang w:val="en-US"/>
        </w:rPr>
        <w:t xml:space="preserve"> </w:t>
      </w:r>
      <w:r w:rsidR="00C05624" w:rsidRPr="008F68D6">
        <w:rPr>
          <w:rFonts w:ascii="Cambria" w:hAnsi="Cambria" w:cstheme="minorHAnsi"/>
          <w:lang w:val="en-US"/>
        </w:rPr>
        <w:t>the phenomenon we call ‘marriage’</w:t>
      </w:r>
      <w:r w:rsidR="00B33EB3">
        <w:rPr>
          <w:rStyle w:val="FootnoteReference"/>
          <w:rFonts w:ascii="Cambria" w:hAnsi="Cambria" w:cstheme="minorHAnsi"/>
          <w:lang w:val="en-US"/>
        </w:rPr>
        <w:footnoteReference w:id="14"/>
      </w:r>
      <w:r w:rsidR="00C05624" w:rsidRPr="008F68D6">
        <w:rPr>
          <w:rFonts w:ascii="Cambria" w:hAnsi="Cambria" w:cstheme="minorHAnsi"/>
          <w:lang w:val="en-US"/>
        </w:rPr>
        <w:t xml:space="preserve"> is clearly related to similar phenomena in the past, though I take it as obvious that the meaning of marriage </w:t>
      </w:r>
      <w:r w:rsidR="00C05624" w:rsidRPr="008F68D6">
        <w:rPr>
          <w:rFonts w:ascii="Cambria" w:hAnsi="Cambria" w:cstheme="minorHAnsi"/>
          <w:lang w:val="en-US"/>
        </w:rPr>
        <w:lastRenderedPageBreak/>
        <w:t xml:space="preserve">to us </w:t>
      </w:r>
      <w:r w:rsidR="00F50CF4" w:rsidRPr="008F68D6">
        <w:rPr>
          <w:rFonts w:ascii="Cambria" w:hAnsi="Cambria" w:cstheme="minorHAnsi"/>
          <w:lang w:val="en-US"/>
        </w:rPr>
        <w:t xml:space="preserve">may be very different </w:t>
      </w:r>
      <w:r w:rsidR="00F82AE6">
        <w:rPr>
          <w:rFonts w:ascii="Cambria" w:hAnsi="Cambria" w:cstheme="minorHAnsi"/>
          <w:lang w:val="en-US"/>
        </w:rPr>
        <w:t xml:space="preserve">from </w:t>
      </w:r>
      <w:r w:rsidR="003F63BC">
        <w:rPr>
          <w:rFonts w:ascii="Cambria" w:hAnsi="Cambria" w:cstheme="minorHAnsi"/>
          <w:lang w:val="en-US"/>
        </w:rPr>
        <w:t xml:space="preserve">its meaning for </w:t>
      </w:r>
      <w:r w:rsidR="00F82AE6">
        <w:rPr>
          <w:rFonts w:ascii="Cambria" w:hAnsi="Cambria" w:cstheme="minorHAnsi"/>
          <w:lang w:val="en-US"/>
        </w:rPr>
        <w:t xml:space="preserve">our </w:t>
      </w:r>
      <w:r w:rsidR="002E0980">
        <w:rPr>
          <w:rFonts w:ascii="Cambria" w:hAnsi="Cambria" w:cstheme="minorHAnsi"/>
          <w:lang w:val="en-US"/>
        </w:rPr>
        <w:t xml:space="preserve">ancestors </w:t>
      </w:r>
      <w:r w:rsidR="00F50CF4" w:rsidRPr="008F68D6">
        <w:rPr>
          <w:rFonts w:ascii="Cambria" w:hAnsi="Cambria" w:cstheme="minorHAnsi"/>
          <w:lang w:val="en-US"/>
        </w:rPr>
        <w:t>along multiple dimension</w:t>
      </w:r>
      <w:r w:rsidR="00790089">
        <w:rPr>
          <w:rFonts w:ascii="Cambria" w:hAnsi="Cambria" w:cstheme="minorHAnsi"/>
          <w:lang w:val="en-US"/>
        </w:rPr>
        <w:t>s</w:t>
      </w:r>
      <w:r w:rsidR="00F50CF4" w:rsidRPr="008F68D6">
        <w:rPr>
          <w:rFonts w:ascii="Cambria" w:hAnsi="Cambria" w:cstheme="minorHAnsi"/>
          <w:lang w:val="en-US"/>
        </w:rPr>
        <w:t>.</w:t>
      </w:r>
      <w:r w:rsidR="00F50CF4" w:rsidRPr="008F68D6">
        <w:rPr>
          <w:rStyle w:val="FootnoteReference"/>
          <w:rFonts w:ascii="Cambria" w:hAnsi="Cambria" w:cstheme="minorHAnsi"/>
          <w:lang w:val="en-US"/>
        </w:rPr>
        <w:footnoteReference w:id="15"/>
      </w:r>
      <w:r w:rsidR="00703D49" w:rsidRPr="008F68D6">
        <w:rPr>
          <w:rFonts w:ascii="Cambria" w:hAnsi="Cambria" w:cstheme="minorHAnsi"/>
          <w:lang w:val="en-US"/>
        </w:rPr>
        <w:t xml:space="preserve"> Finally, </w:t>
      </w:r>
      <w:r w:rsidR="00E476DA" w:rsidRPr="008F68D6">
        <w:rPr>
          <w:rFonts w:ascii="Cambria" w:hAnsi="Cambria" w:cstheme="minorHAnsi"/>
          <w:lang w:val="en-US"/>
        </w:rPr>
        <w:t>an autonomous person show</w:t>
      </w:r>
      <w:r w:rsidR="000E4B7F">
        <w:rPr>
          <w:rFonts w:ascii="Cambria" w:hAnsi="Cambria" w:cstheme="minorHAnsi"/>
          <w:lang w:val="en-US"/>
        </w:rPr>
        <w:t>s</w:t>
      </w:r>
      <w:r w:rsidR="00E476DA" w:rsidRPr="008F68D6">
        <w:rPr>
          <w:rFonts w:ascii="Cambria" w:hAnsi="Cambria" w:cstheme="minorHAnsi"/>
          <w:lang w:val="en-US"/>
        </w:rPr>
        <w:t xml:space="preserve"> commitment or fidelity to the options he chooses to pursue, though the extent and nature of the required commitment will obviously vary with the nature of the option</w:t>
      </w:r>
      <w:r w:rsidR="00347745" w:rsidRPr="008F68D6">
        <w:rPr>
          <w:rFonts w:ascii="Cambria" w:hAnsi="Cambria" w:cstheme="minorHAnsi"/>
          <w:lang w:val="en-US"/>
        </w:rPr>
        <w:t>; this is part and parcel of the idea that a choice to pursue an option is only real</w:t>
      </w:r>
      <w:r w:rsidR="00180A22" w:rsidRPr="008F68D6">
        <w:rPr>
          <w:rFonts w:ascii="Cambria" w:hAnsi="Cambria" w:cstheme="minorHAnsi"/>
          <w:lang w:val="en-US"/>
        </w:rPr>
        <w:t>ly a choice</w:t>
      </w:r>
      <w:r w:rsidR="00347745" w:rsidRPr="008F68D6">
        <w:rPr>
          <w:rFonts w:ascii="Cambria" w:hAnsi="Cambria" w:cstheme="minorHAnsi"/>
          <w:lang w:val="en-US"/>
        </w:rPr>
        <w:t xml:space="preserve"> if </w:t>
      </w:r>
      <w:r w:rsidR="00180A22" w:rsidRPr="008F68D6">
        <w:rPr>
          <w:rFonts w:ascii="Cambria" w:hAnsi="Cambria" w:cstheme="minorHAnsi"/>
          <w:lang w:val="en-US"/>
        </w:rPr>
        <w:t xml:space="preserve">the </w:t>
      </w:r>
      <w:r w:rsidR="00360E6B" w:rsidRPr="008F68D6">
        <w:rPr>
          <w:rFonts w:ascii="Cambria" w:hAnsi="Cambria" w:cstheme="minorHAnsi"/>
          <w:lang w:val="en-US"/>
        </w:rPr>
        <w:t>pursuit of it is real</w:t>
      </w:r>
      <w:r w:rsidR="00180A22" w:rsidRPr="008F68D6">
        <w:rPr>
          <w:rFonts w:ascii="Cambria" w:hAnsi="Cambria" w:cstheme="minorHAnsi"/>
          <w:lang w:val="en-US"/>
        </w:rPr>
        <w:t xml:space="preserve"> or genuine.</w:t>
      </w:r>
      <w:r w:rsidR="002973CF" w:rsidRPr="008F68D6">
        <w:rPr>
          <w:rStyle w:val="FootnoteReference"/>
          <w:rFonts w:ascii="Cambria" w:hAnsi="Cambria" w:cstheme="minorHAnsi"/>
          <w:lang w:val="en-US"/>
        </w:rPr>
        <w:footnoteReference w:id="16"/>
      </w:r>
    </w:p>
    <w:p w14:paraId="2227D50D" w14:textId="77777777" w:rsidR="00556E6E" w:rsidRPr="008F68D6" w:rsidRDefault="00556E6E" w:rsidP="008F68D6">
      <w:pPr>
        <w:jc w:val="both"/>
        <w:rPr>
          <w:rFonts w:ascii="Cambria" w:hAnsi="Cambria" w:cstheme="minorHAnsi"/>
          <w:lang w:val="en-US"/>
        </w:rPr>
      </w:pPr>
    </w:p>
    <w:p w14:paraId="38C732FC" w14:textId="1C0CD457" w:rsidR="00740DF0" w:rsidRPr="008F68D6" w:rsidRDefault="000229C6" w:rsidP="008F68D6">
      <w:pPr>
        <w:pStyle w:val="ListParagraph"/>
        <w:numPr>
          <w:ilvl w:val="0"/>
          <w:numId w:val="2"/>
        </w:numPr>
        <w:jc w:val="both"/>
        <w:rPr>
          <w:rFonts w:ascii="Cambria" w:hAnsi="Cambria" w:cstheme="minorHAnsi"/>
          <w:lang w:val="en-US"/>
        </w:rPr>
      </w:pPr>
      <w:r w:rsidRPr="008F68D6">
        <w:rPr>
          <w:rFonts w:ascii="Cambria" w:hAnsi="Cambria" w:cstheme="minorHAnsi"/>
          <w:lang w:val="en-US"/>
        </w:rPr>
        <w:t xml:space="preserve">Relating </w:t>
      </w:r>
      <w:r w:rsidR="00740DF0" w:rsidRPr="008F68D6">
        <w:rPr>
          <w:rFonts w:ascii="Cambria" w:hAnsi="Cambria" w:cstheme="minorHAnsi"/>
          <w:lang w:val="en-US"/>
        </w:rPr>
        <w:t>A</w:t>
      </w:r>
      <w:r w:rsidR="00274F19" w:rsidRPr="008F68D6">
        <w:rPr>
          <w:rFonts w:ascii="Cambria" w:hAnsi="Cambria" w:cstheme="minorHAnsi"/>
          <w:lang w:val="en-US"/>
        </w:rPr>
        <w:t xml:space="preserve">utonomy to Private Law – the </w:t>
      </w:r>
      <w:r w:rsidR="00C26121" w:rsidRPr="008F68D6">
        <w:rPr>
          <w:rFonts w:ascii="Cambria" w:hAnsi="Cambria" w:cstheme="minorHAnsi"/>
          <w:lang w:val="en-US"/>
        </w:rPr>
        <w:t>Independence</w:t>
      </w:r>
      <w:r w:rsidR="00274F19" w:rsidRPr="008F68D6">
        <w:rPr>
          <w:rFonts w:ascii="Cambria" w:hAnsi="Cambria" w:cstheme="minorHAnsi"/>
          <w:lang w:val="en-US"/>
        </w:rPr>
        <w:t xml:space="preserve"> Account</w:t>
      </w:r>
    </w:p>
    <w:p w14:paraId="035E064C" w14:textId="1022C189" w:rsidR="00740DF0" w:rsidRPr="008F68D6" w:rsidRDefault="00740DF0" w:rsidP="008F68D6">
      <w:pPr>
        <w:jc w:val="both"/>
        <w:rPr>
          <w:rFonts w:ascii="Cambria" w:hAnsi="Cambria" w:cstheme="minorHAnsi"/>
          <w:lang w:val="en-US"/>
        </w:rPr>
      </w:pPr>
    </w:p>
    <w:p w14:paraId="6D509564" w14:textId="30FC7D4C" w:rsidR="00D14860" w:rsidRPr="008F68D6" w:rsidRDefault="00D14860" w:rsidP="008F68D6">
      <w:pPr>
        <w:jc w:val="both"/>
        <w:rPr>
          <w:rFonts w:ascii="Cambria" w:hAnsi="Cambria" w:cstheme="minorHAnsi"/>
          <w:lang w:val="en-US"/>
        </w:rPr>
      </w:pPr>
      <w:r w:rsidRPr="008F68D6">
        <w:rPr>
          <w:rFonts w:ascii="Cambria" w:hAnsi="Cambria" w:cstheme="minorHAnsi"/>
          <w:lang w:val="en-US"/>
        </w:rPr>
        <w:t>The claim here is that private law has a clear</w:t>
      </w:r>
      <w:r w:rsidR="005C497B" w:rsidRPr="008F68D6">
        <w:rPr>
          <w:rFonts w:ascii="Cambria" w:hAnsi="Cambria" w:cstheme="minorHAnsi"/>
          <w:lang w:val="en-US"/>
        </w:rPr>
        <w:t xml:space="preserve"> function in </w:t>
      </w:r>
      <w:r w:rsidR="0072780D" w:rsidRPr="008F68D6">
        <w:rPr>
          <w:rFonts w:ascii="Cambria" w:hAnsi="Cambria" w:cstheme="minorHAnsi"/>
          <w:lang w:val="en-US"/>
        </w:rPr>
        <w:t>maintaining</w:t>
      </w:r>
      <w:r w:rsidR="00173F22" w:rsidRPr="008F68D6">
        <w:rPr>
          <w:rFonts w:ascii="Cambria" w:hAnsi="Cambria" w:cstheme="minorHAnsi"/>
          <w:lang w:val="en-US"/>
        </w:rPr>
        <w:t>, at least in modern societies,</w:t>
      </w:r>
      <w:r w:rsidR="0072780D" w:rsidRPr="008F68D6">
        <w:rPr>
          <w:rFonts w:ascii="Cambria" w:hAnsi="Cambria" w:cstheme="minorHAnsi"/>
          <w:lang w:val="en-US"/>
        </w:rPr>
        <w:t xml:space="preserve"> one of the conditions of personal autonomy</w:t>
      </w:r>
      <w:r w:rsidR="00173F22" w:rsidRPr="008F68D6">
        <w:rPr>
          <w:rFonts w:ascii="Cambria" w:hAnsi="Cambria" w:cstheme="minorHAnsi"/>
          <w:lang w:val="en-US"/>
        </w:rPr>
        <w:t xml:space="preserve">, that of independence. </w:t>
      </w:r>
      <w:r w:rsidR="00C73608" w:rsidRPr="008F68D6">
        <w:rPr>
          <w:rFonts w:ascii="Cambria" w:hAnsi="Cambria" w:cstheme="minorHAnsi"/>
          <w:lang w:val="en-US"/>
        </w:rPr>
        <w:t xml:space="preserve">As I hope to show, this is not a controversial claim for an autonomy theorist to make. And </w:t>
      </w:r>
      <w:r w:rsidR="006E6651" w:rsidRPr="008F68D6">
        <w:rPr>
          <w:rFonts w:ascii="Cambria" w:hAnsi="Cambria" w:cstheme="minorHAnsi"/>
          <w:lang w:val="en-US"/>
        </w:rPr>
        <w:t>although, as I have mentioned, Raz has not</w:t>
      </w:r>
      <w:r w:rsidR="004A4C08">
        <w:rPr>
          <w:rFonts w:ascii="Cambria" w:hAnsi="Cambria" w:cstheme="minorHAnsi"/>
          <w:lang w:val="en-US"/>
        </w:rPr>
        <w:t>, as far as I know,</w:t>
      </w:r>
      <w:r w:rsidR="006E6651" w:rsidRPr="008F68D6">
        <w:rPr>
          <w:rFonts w:ascii="Cambria" w:hAnsi="Cambria" w:cstheme="minorHAnsi"/>
          <w:lang w:val="en-US"/>
        </w:rPr>
        <w:t xml:space="preserve"> himself addressed the relationship of autonomy to private law in terms, some of what he has said seems </w:t>
      </w:r>
      <w:r w:rsidR="000575EA" w:rsidRPr="008F68D6">
        <w:rPr>
          <w:rFonts w:ascii="Cambria" w:hAnsi="Cambria" w:cstheme="minorHAnsi"/>
          <w:lang w:val="en-US"/>
        </w:rPr>
        <w:t>entirely compatible with t</w:t>
      </w:r>
      <w:r w:rsidR="00144CFC" w:rsidRPr="008F68D6">
        <w:rPr>
          <w:rFonts w:ascii="Cambria" w:hAnsi="Cambria" w:cstheme="minorHAnsi"/>
          <w:lang w:val="en-US"/>
        </w:rPr>
        <w:t>his</w:t>
      </w:r>
      <w:r w:rsidR="000575EA" w:rsidRPr="008F68D6">
        <w:rPr>
          <w:rFonts w:ascii="Cambria" w:hAnsi="Cambria" w:cstheme="minorHAnsi"/>
          <w:lang w:val="en-US"/>
        </w:rPr>
        <w:t xml:space="preserve"> claim.</w:t>
      </w:r>
    </w:p>
    <w:p w14:paraId="22EBCA2D" w14:textId="4AB7D672" w:rsidR="00404418" w:rsidRPr="008F68D6" w:rsidRDefault="00404418" w:rsidP="008F68D6">
      <w:pPr>
        <w:jc w:val="both"/>
        <w:rPr>
          <w:rFonts w:ascii="Cambria" w:hAnsi="Cambria" w:cstheme="minorHAnsi"/>
          <w:lang w:val="en-US"/>
        </w:rPr>
      </w:pPr>
    </w:p>
    <w:p w14:paraId="09AAB2CD" w14:textId="419AA4D6" w:rsidR="00404418" w:rsidRPr="008F68D6" w:rsidRDefault="00404418" w:rsidP="008F68D6">
      <w:pPr>
        <w:jc w:val="both"/>
        <w:rPr>
          <w:rFonts w:ascii="Cambria" w:hAnsi="Cambria" w:cstheme="minorHAnsi"/>
          <w:lang w:val="en-US"/>
        </w:rPr>
      </w:pPr>
      <w:proofErr w:type="gramStart"/>
      <w:r w:rsidRPr="008F68D6">
        <w:rPr>
          <w:rFonts w:ascii="Cambria" w:hAnsi="Cambria" w:cstheme="minorHAnsi"/>
          <w:lang w:val="en-US"/>
        </w:rPr>
        <w:t>Of course</w:t>
      </w:r>
      <w:proofErr w:type="gramEnd"/>
      <w:r w:rsidRPr="008F68D6">
        <w:rPr>
          <w:rFonts w:ascii="Cambria" w:hAnsi="Cambria" w:cstheme="minorHAnsi"/>
          <w:lang w:val="en-US"/>
        </w:rPr>
        <w:t xml:space="preserve"> there are many different accounts of the nature of private law. I shall here simply offer my own, a </w:t>
      </w:r>
      <w:r w:rsidR="00716E1C" w:rsidRPr="008F68D6">
        <w:rPr>
          <w:rFonts w:ascii="Cambria" w:hAnsi="Cambria" w:cstheme="minorHAnsi"/>
          <w:lang w:val="en-US"/>
        </w:rPr>
        <w:t>‘</w:t>
      </w:r>
      <w:r w:rsidRPr="008F68D6">
        <w:rPr>
          <w:rFonts w:ascii="Cambria" w:hAnsi="Cambria" w:cstheme="minorHAnsi"/>
          <w:lang w:val="en-US"/>
        </w:rPr>
        <w:t xml:space="preserve">Kantian </w:t>
      </w:r>
      <w:r w:rsidR="000A5608" w:rsidRPr="008F68D6">
        <w:rPr>
          <w:rFonts w:ascii="Cambria" w:hAnsi="Cambria" w:cstheme="minorHAnsi"/>
          <w:lang w:val="en-US"/>
        </w:rPr>
        <w:t>i</w:t>
      </w:r>
      <w:r w:rsidRPr="008F68D6">
        <w:rPr>
          <w:rFonts w:ascii="Cambria" w:hAnsi="Cambria" w:cstheme="minorHAnsi"/>
          <w:lang w:val="en-US"/>
        </w:rPr>
        <w:t>nstrumentalist</w:t>
      </w:r>
      <w:r w:rsidR="00716E1C" w:rsidRPr="008F68D6">
        <w:rPr>
          <w:rFonts w:ascii="Cambria" w:hAnsi="Cambria" w:cstheme="minorHAnsi"/>
          <w:lang w:val="en-US"/>
        </w:rPr>
        <w:t>’</w:t>
      </w:r>
      <w:r w:rsidRPr="008F68D6">
        <w:rPr>
          <w:rFonts w:ascii="Cambria" w:hAnsi="Cambria" w:cstheme="minorHAnsi"/>
          <w:lang w:val="en-US"/>
        </w:rPr>
        <w:t xml:space="preserve"> account, which I hope is intuitively plausible in its basic features.</w:t>
      </w:r>
      <w:r w:rsidR="00A55B2E" w:rsidRPr="008F68D6">
        <w:rPr>
          <w:rFonts w:ascii="Cambria" w:hAnsi="Cambria" w:cstheme="minorHAnsi"/>
          <w:lang w:val="en-US"/>
        </w:rPr>
        <w:t xml:space="preserve"> </w:t>
      </w:r>
      <w:r w:rsidR="00CB1755" w:rsidRPr="008F68D6">
        <w:rPr>
          <w:rFonts w:ascii="Cambria" w:hAnsi="Cambria" w:cstheme="minorHAnsi"/>
          <w:lang w:val="en-US"/>
        </w:rPr>
        <w:t>The ideas here are now familiar, so I can be brief.</w:t>
      </w:r>
    </w:p>
    <w:p w14:paraId="211C2ED2" w14:textId="513CFE03" w:rsidR="00CB1755" w:rsidRPr="008F68D6" w:rsidRDefault="00CB1755" w:rsidP="008F68D6">
      <w:pPr>
        <w:jc w:val="both"/>
        <w:rPr>
          <w:rFonts w:ascii="Cambria" w:hAnsi="Cambria" w:cstheme="minorHAnsi"/>
          <w:lang w:val="en-US"/>
        </w:rPr>
      </w:pPr>
    </w:p>
    <w:p w14:paraId="2BE99D1F" w14:textId="67D76657" w:rsidR="00CB1755" w:rsidRPr="008F68D6" w:rsidRDefault="00CB1755" w:rsidP="008F68D6">
      <w:pPr>
        <w:jc w:val="both"/>
        <w:rPr>
          <w:rFonts w:ascii="Cambria" w:hAnsi="Cambria" w:cstheme="minorHAnsi"/>
          <w:lang w:val="en-US"/>
        </w:rPr>
      </w:pPr>
      <w:r w:rsidRPr="008F68D6">
        <w:rPr>
          <w:rFonts w:ascii="Cambria" w:hAnsi="Cambria" w:cstheme="minorHAnsi"/>
          <w:lang w:val="en-US"/>
        </w:rPr>
        <w:t>Re</w:t>
      </w:r>
      <w:r w:rsidR="00D70031" w:rsidRPr="008F68D6">
        <w:rPr>
          <w:rFonts w:ascii="Cambria" w:hAnsi="Cambria" w:cstheme="minorHAnsi"/>
          <w:lang w:val="en-US"/>
        </w:rPr>
        <w:t>garding</w:t>
      </w:r>
      <w:r w:rsidRPr="008F68D6">
        <w:rPr>
          <w:rFonts w:ascii="Cambria" w:hAnsi="Cambria" w:cstheme="minorHAnsi"/>
          <w:lang w:val="en-US"/>
        </w:rPr>
        <w:t xml:space="preserve"> the Kantian aspect, </w:t>
      </w:r>
      <w:r w:rsidR="00E51777" w:rsidRPr="008F68D6">
        <w:rPr>
          <w:rFonts w:ascii="Cambria" w:hAnsi="Cambria" w:cstheme="minorHAnsi"/>
          <w:lang w:val="en-US"/>
        </w:rPr>
        <w:t xml:space="preserve">one might say </w:t>
      </w:r>
      <w:r w:rsidR="00FD1415">
        <w:rPr>
          <w:rFonts w:ascii="Cambria" w:hAnsi="Cambria" w:cstheme="minorHAnsi"/>
          <w:lang w:val="en-US"/>
        </w:rPr>
        <w:t xml:space="preserve">that </w:t>
      </w:r>
      <w:r w:rsidR="00E51777" w:rsidRPr="008F68D6">
        <w:rPr>
          <w:rFonts w:ascii="Cambria" w:hAnsi="Cambria" w:cstheme="minorHAnsi"/>
          <w:lang w:val="en-US"/>
        </w:rPr>
        <w:t xml:space="preserve">the basic </w:t>
      </w:r>
      <w:r w:rsidR="00D34FE8">
        <w:rPr>
          <w:rFonts w:ascii="Cambria" w:hAnsi="Cambria" w:cstheme="minorHAnsi"/>
          <w:lang w:val="en-US"/>
        </w:rPr>
        <w:t xml:space="preserve">Kantian </w:t>
      </w:r>
      <w:r w:rsidR="00E51777" w:rsidRPr="008F68D6">
        <w:rPr>
          <w:rFonts w:ascii="Cambria" w:hAnsi="Cambria" w:cstheme="minorHAnsi"/>
          <w:lang w:val="en-US"/>
        </w:rPr>
        <w:t xml:space="preserve">insight </w:t>
      </w:r>
      <w:r w:rsidR="00915BA3" w:rsidRPr="008F68D6">
        <w:rPr>
          <w:rFonts w:ascii="Cambria" w:hAnsi="Cambria" w:cstheme="minorHAnsi"/>
          <w:lang w:val="en-US"/>
        </w:rPr>
        <w:t>is that humanity comes in units, units which we call persons. The private law takes an interest in persons in so far as they are agents, which most of us are for the greater part of our lives</w:t>
      </w:r>
      <w:r w:rsidR="00CD1227" w:rsidRPr="008F68D6">
        <w:rPr>
          <w:rFonts w:ascii="Cambria" w:hAnsi="Cambria" w:cstheme="minorHAnsi"/>
          <w:lang w:val="en-US"/>
        </w:rPr>
        <w:t>. Private law secures</w:t>
      </w:r>
      <w:r w:rsidR="00A469DD">
        <w:rPr>
          <w:rFonts w:ascii="Cambria" w:hAnsi="Cambria" w:cstheme="minorHAnsi"/>
          <w:lang w:val="en-US"/>
        </w:rPr>
        <w:t xml:space="preserve">, </w:t>
      </w:r>
      <w:r w:rsidR="001223BB">
        <w:rPr>
          <w:rFonts w:ascii="Cambria" w:hAnsi="Cambria" w:cstheme="minorHAnsi"/>
          <w:lang w:val="en-US"/>
        </w:rPr>
        <w:t xml:space="preserve">to </w:t>
      </w:r>
      <w:r w:rsidR="00A469DD">
        <w:rPr>
          <w:rFonts w:ascii="Cambria" w:hAnsi="Cambria" w:cstheme="minorHAnsi"/>
          <w:lang w:val="en-US"/>
        </w:rPr>
        <w:t>the extent it does,</w:t>
      </w:r>
      <w:r w:rsidR="00CD1227" w:rsidRPr="008F68D6">
        <w:rPr>
          <w:rFonts w:ascii="Cambria" w:hAnsi="Cambria" w:cstheme="minorHAnsi"/>
          <w:lang w:val="en-US"/>
        </w:rPr>
        <w:t xml:space="preserve"> the conditions of ‘rightful’ agency</w:t>
      </w:r>
      <w:r w:rsidR="008A18C8" w:rsidRPr="008F68D6">
        <w:rPr>
          <w:rFonts w:ascii="Cambria" w:hAnsi="Cambria" w:cstheme="minorHAnsi"/>
          <w:lang w:val="en-US"/>
        </w:rPr>
        <w:t>: the ability to pursue purposes within the framework of interpersonal morality.</w:t>
      </w:r>
      <w:r w:rsidR="00AC2B67" w:rsidRPr="008F68D6">
        <w:rPr>
          <w:rFonts w:ascii="Cambria" w:hAnsi="Cambria" w:cstheme="minorHAnsi"/>
          <w:lang w:val="en-US"/>
        </w:rPr>
        <w:t xml:space="preserve"> </w:t>
      </w:r>
      <w:r w:rsidR="00171F41" w:rsidRPr="008F68D6">
        <w:rPr>
          <w:rFonts w:ascii="Cambria" w:hAnsi="Cambria" w:cstheme="minorHAnsi"/>
          <w:lang w:val="en-US"/>
        </w:rPr>
        <w:t xml:space="preserve">It does so </w:t>
      </w:r>
      <w:r w:rsidR="00580AE0">
        <w:rPr>
          <w:rFonts w:ascii="Cambria" w:hAnsi="Cambria" w:cstheme="minorHAnsi"/>
          <w:lang w:val="en-US"/>
        </w:rPr>
        <w:t xml:space="preserve">by </w:t>
      </w:r>
      <w:r w:rsidR="00D70031" w:rsidRPr="008F68D6">
        <w:rPr>
          <w:rFonts w:ascii="Cambria" w:hAnsi="Cambria" w:cstheme="minorHAnsi"/>
          <w:lang w:val="en-US"/>
        </w:rPr>
        <w:t>ensur</w:t>
      </w:r>
      <w:r w:rsidR="00AC2B67" w:rsidRPr="008F68D6">
        <w:rPr>
          <w:rFonts w:ascii="Cambria" w:hAnsi="Cambria" w:cstheme="minorHAnsi"/>
          <w:lang w:val="en-US"/>
        </w:rPr>
        <w:t>ing</w:t>
      </w:r>
      <w:r w:rsidR="00D70031" w:rsidRPr="008F68D6">
        <w:rPr>
          <w:rFonts w:ascii="Cambria" w:hAnsi="Cambria" w:cstheme="minorHAnsi"/>
          <w:lang w:val="en-US"/>
        </w:rPr>
        <w:t xml:space="preserve"> the independence of our choices from the interferences of others, choices concerning the ‘means’ that we have</w:t>
      </w:r>
      <w:r w:rsidR="00FF5B82">
        <w:rPr>
          <w:rFonts w:ascii="Cambria" w:hAnsi="Cambria" w:cstheme="minorHAnsi"/>
          <w:lang w:val="en-US"/>
        </w:rPr>
        <w:t>:</w:t>
      </w:r>
      <w:r w:rsidR="00D70031" w:rsidRPr="008F68D6">
        <w:rPr>
          <w:rFonts w:ascii="Cambria" w:hAnsi="Cambria" w:cstheme="minorHAnsi"/>
          <w:lang w:val="en-US"/>
        </w:rPr>
        <w:t xml:space="preserve"> our bodies, our property, and our power to enter into agreements with others</w:t>
      </w:r>
      <w:r w:rsidR="008A18C8" w:rsidRPr="008F68D6">
        <w:rPr>
          <w:rFonts w:ascii="Cambria" w:hAnsi="Cambria" w:cstheme="minorHAnsi"/>
          <w:lang w:val="en-US"/>
        </w:rPr>
        <w:t>. So conceived, p</w:t>
      </w:r>
      <w:r w:rsidR="00D70031" w:rsidRPr="008F68D6">
        <w:rPr>
          <w:rFonts w:ascii="Cambria" w:hAnsi="Cambria" w:cstheme="minorHAnsi"/>
          <w:lang w:val="en-US"/>
        </w:rPr>
        <w:t>rivate rights are relational and negative; they concern the actions of others, prohibiting their acting so as to interfere with our means by damaging</w:t>
      </w:r>
      <w:r w:rsidR="0002305F">
        <w:rPr>
          <w:rFonts w:ascii="Cambria" w:hAnsi="Cambria" w:cstheme="minorHAnsi"/>
          <w:lang w:val="en-US"/>
        </w:rPr>
        <w:t>, withholding,</w:t>
      </w:r>
      <w:r w:rsidR="00D70031" w:rsidRPr="008F68D6">
        <w:rPr>
          <w:rFonts w:ascii="Cambria" w:hAnsi="Cambria" w:cstheme="minorHAnsi"/>
          <w:lang w:val="en-US"/>
        </w:rPr>
        <w:t xml:space="preserve"> or usurping them</w:t>
      </w:r>
      <w:r w:rsidR="00D940B0">
        <w:rPr>
          <w:rFonts w:ascii="Cambria" w:hAnsi="Cambria" w:cstheme="minorHAnsi"/>
          <w:lang w:val="en-US"/>
        </w:rPr>
        <w:t>;</w:t>
      </w:r>
      <w:r w:rsidR="00D70031" w:rsidRPr="008F68D6">
        <w:rPr>
          <w:rFonts w:ascii="Cambria" w:hAnsi="Cambria" w:cstheme="minorHAnsi"/>
          <w:lang w:val="en-US"/>
        </w:rPr>
        <w:t xml:space="preserve"> you do not have any ‘positive’ rights in your means: no one else as a matter of private right is under a duty to assist you in the use of your means, or to provide a </w:t>
      </w:r>
      <w:proofErr w:type="spellStart"/>
      <w:r w:rsidR="00D70031" w:rsidRPr="008F68D6">
        <w:rPr>
          <w:rFonts w:ascii="Cambria" w:hAnsi="Cambria" w:cstheme="minorHAnsi"/>
          <w:lang w:val="en-US"/>
        </w:rPr>
        <w:t>favourable</w:t>
      </w:r>
      <w:proofErr w:type="spellEnd"/>
      <w:r w:rsidR="00D70031" w:rsidRPr="008F68D6">
        <w:rPr>
          <w:rFonts w:ascii="Cambria" w:hAnsi="Cambria" w:cstheme="minorHAnsi"/>
          <w:lang w:val="en-US"/>
        </w:rPr>
        <w:t xml:space="preserve"> environment for their use. Finally, the function of private rights is essentially</w:t>
      </w:r>
      <w:r w:rsidR="0062034F" w:rsidRPr="008F68D6">
        <w:rPr>
          <w:rFonts w:ascii="Cambria" w:hAnsi="Cambria" w:cstheme="minorHAnsi"/>
          <w:lang w:val="en-US"/>
        </w:rPr>
        <w:t xml:space="preserve"> </w:t>
      </w:r>
      <w:r w:rsidR="00D70031" w:rsidRPr="008F68D6">
        <w:rPr>
          <w:rFonts w:ascii="Cambria" w:hAnsi="Cambria" w:cstheme="minorHAnsi"/>
          <w:lang w:val="en-US"/>
        </w:rPr>
        <w:t>allocative. In order to have a regime of right which makes necessary reference to</w:t>
      </w:r>
      <w:r w:rsidR="0062034F" w:rsidRPr="008F68D6">
        <w:rPr>
          <w:rFonts w:ascii="Cambria" w:hAnsi="Cambria" w:cstheme="minorHAnsi"/>
          <w:lang w:val="en-US"/>
        </w:rPr>
        <w:t xml:space="preserve"> </w:t>
      </w:r>
      <w:r w:rsidR="00D70031" w:rsidRPr="008F68D6">
        <w:rPr>
          <w:rFonts w:ascii="Cambria" w:hAnsi="Cambria" w:cstheme="minorHAnsi"/>
          <w:lang w:val="en-US"/>
        </w:rPr>
        <w:t>the concept of a person’s own means, we have to know which means are yours and</w:t>
      </w:r>
      <w:r w:rsidR="0062034F" w:rsidRPr="008F68D6">
        <w:rPr>
          <w:rFonts w:ascii="Cambria" w:hAnsi="Cambria" w:cstheme="minorHAnsi"/>
          <w:lang w:val="en-US"/>
        </w:rPr>
        <w:t xml:space="preserve"> </w:t>
      </w:r>
      <w:r w:rsidR="00D70031" w:rsidRPr="008F68D6">
        <w:rPr>
          <w:rFonts w:ascii="Cambria" w:hAnsi="Cambria" w:cstheme="minorHAnsi"/>
          <w:lang w:val="en-US"/>
        </w:rPr>
        <w:t>which are mine.</w:t>
      </w:r>
    </w:p>
    <w:p w14:paraId="4D033145" w14:textId="0E861549" w:rsidR="00EF0775" w:rsidRPr="008F68D6" w:rsidRDefault="00EF0775" w:rsidP="008F68D6">
      <w:pPr>
        <w:jc w:val="both"/>
        <w:rPr>
          <w:rFonts w:ascii="Cambria" w:hAnsi="Cambria" w:cstheme="minorHAnsi"/>
          <w:lang w:val="en-US"/>
        </w:rPr>
      </w:pPr>
    </w:p>
    <w:p w14:paraId="4DF00334" w14:textId="05A04734" w:rsidR="00D71E43" w:rsidRPr="008F68D6" w:rsidRDefault="00461278" w:rsidP="008F68D6">
      <w:pPr>
        <w:jc w:val="both"/>
        <w:rPr>
          <w:rFonts w:ascii="Cambria" w:hAnsi="Cambria" w:cstheme="minorHAnsi"/>
          <w:lang w:val="en-US"/>
        </w:rPr>
      </w:pPr>
      <w:r>
        <w:rPr>
          <w:rFonts w:ascii="Cambria" w:hAnsi="Cambria" w:cstheme="minorHAnsi"/>
          <w:lang w:val="en-US"/>
        </w:rPr>
        <w:t xml:space="preserve">I said just above that the private law secures the conditions of rightful agency ‘to the extent </w:t>
      </w:r>
      <w:proofErr w:type="gramStart"/>
      <w:r>
        <w:rPr>
          <w:rFonts w:ascii="Cambria" w:hAnsi="Cambria" w:cstheme="minorHAnsi"/>
          <w:lang w:val="en-US"/>
        </w:rPr>
        <w:t>it</w:t>
      </w:r>
      <w:proofErr w:type="gramEnd"/>
      <w:r>
        <w:rPr>
          <w:rFonts w:ascii="Cambria" w:hAnsi="Cambria" w:cstheme="minorHAnsi"/>
          <w:lang w:val="en-US"/>
        </w:rPr>
        <w:t xml:space="preserve"> does’. I should </w:t>
      </w:r>
      <w:r w:rsidR="00AE44C6">
        <w:rPr>
          <w:rFonts w:ascii="Cambria" w:hAnsi="Cambria" w:cstheme="minorHAnsi"/>
          <w:lang w:val="en-US"/>
        </w:rPr>
        <w:t xml:space="preserve">add ‘to the extent it can’. </w:t>
      </w:r>
      <w:r w:rsidR="00426AB5" w:rsidRPr="008F68D6">
        <w:rPr>
          <w:rFonts w:ascii="Cambria" w:hAnsi="Cambria" w:cstheme="minorHAnsi"/>
          <w:lang w:val="en-US"/>
        </w:rPr>
        <w:t xml:space="preserve"> </w:t>
      </w:r>
      <w:r w:rsidR="00AE44C6" w:rsidRPr="008F68D6">
        <w:rPr>
          <w:rFonts w:ascii="Cambria" w:hAnsi="Cambria" w:cstheme="minorHAnsi"/>
          <w:lang w:val="en-US"/>
        </w:rPr>
        <w:t>The Kantian instrumentalist builds upon this Kantian insight</w:t>
      </w:r>
      <w:r w:rsidR="00E57C9D">
        <w:rPr>
          <w:rFonts w:ascii="Cambria" w:hAnsi="Cambria" w:cstheme="minorHAnsi"/>
          <w:lang w:val="en-US"/>
        </w:rPr>
        <w:t xml:space="preserve"> </w:t>
      </w:r>
      <w:r w:rsidR="00426AB5" w:rsidRPr="008F68D6">
        <w:rPr>
          <w:rFonts w:ascii="Cambria" w:hAnsi="Cambria" w:cstheme="minorHAnsi"/>
          <w:lang w:val="en-US"/>
        </w:rPr>
        <w:t>into the nature of this ‘horizontal’</w:t>
      </w:r>
      <w:r w:rsidR="00744C0E" w:rsidRPr="008F68D6">
        <w:rPr>
          <w:rFonts w:ascii="Cambria" w:hAnsi="Cambria" w:cstheme="minorHAnsi"/>
          <w:lang w:val="en-US"/>
        </w:rPr>
        <w:t>, agent-focused, interpersonal morality</w:t>
      </w:r>
      <w:r w:rsidR="00E13078" w:rsidRPr="008F68D6">
        <w:rPr>
          <w:rFonts w:ascii="Cambria" w:hAnsi="Cambria" w:cstheme="minorHAnsi"/>
          <w:lang w:val="en-US"/>
        </w:rPr>
        <w:t>, and asks</w:t>
      </w:r>
      <w:r w:rsidR="00193716" w:rsidRPr="008F68D6">
        <w:rPr>
          <w:rFonts w:ascii="Cambria" w:hAnsi="Cambria" w:cstheme="minorHAnsi"/>
          <w:lang w:val="en-US"/>
        </w:rPr>
        <w:t xml:space="preserve">, ‘When and how should the law </w:t>
      </w:r>
      <w:r w:rsidR="002A143E" w:rsidRPr="008F68D6">
        <w:rPr>
          <w:rFonts w:ascii="Cambria" w:hAnsi="Cambria" w:cstheme="minorHAnsi"/>
          <w:lang w:val="en-US"/>
        </w:rPr>
        <w:t xml:space="preserve">issue directives whose aim is to help us </w:t>
      </w:r>
      <w:proofErr w:type="spellStart"/>
      <w:r w:rsidR="002A143E" w:rsidRPr="008F68D6">
        <w:rPr>
          <w:rFonts w:ascii="Cambria" w:hAnsi="Cambria" w:cstheme="minorHAnsi"/>
          <w:lang w:val="en-US"/>
        </w:rPr>
        <w:t>realise</w:t>
      </w:r>
      <w:proofErr w:type="spellEnd"/>
      <w:r w:rsidR="002A143E" w:rsidRPr="008F68D6">
        <w:rPr>
          <w:rFonts w:ascii="Cambria" w:hAnsi="Cambria" w:cstheme="minorHAnsi"/>
          <w:lang w:val="en-US"/>
        </w:rPr>
        <w:t xml:space="preserve"> this </w:t>
      </w:r>
      <w:r w:rsidR="002A6F21" w:rsidRPr="008F68D6">
        <w:rPr>
          <w:rFonts w:ascii="Cambria" w:hAnsi="Cambria" w:cstheme="minorHAnsi"/>
          <w:lang w:val="en-US"/>
        </w:rPr>
        <w:t>interpersonal morality</w:t>
      </w:r>
      <w:r w:rsidR="00A241D7">
        <w:rPr>
          <w:rFonts w:ascii="Cambria" w:hAnsi="Cambria" w:cstheme="minorHAnsi"/>
          <w:lang w:val="en-US"/>
        </w:rPr>
        <w:t>?’</w:t>
      </w:r>
      <w:r w:rsidR="002A6F21" w:rsidRPr="008F68D6">
        <w:rPr>
          <w:rFonts w:ascii="Cambria" w:hAnsi="Cambria" w:cstheme="minorHAnsi"/>
          <w:lang w:val="en-US"/>
        </w:rPr>
        <w:t xml:space="preserve"> </w:t>
      </w:r>
      <w:r w:rsidR="003F01CD">
        <w:rPr>
          <w:rFonts w:ascii="Cambria" w:hAnsi="Cambria" w:cstheme="minorHAnsi"/>
          <w:lang w:val="en-US"/>
        </w:rPr>
        <w:t>a</w:t>
      </w:r>
      <w:r w:rsidR="002A6F21" w:rsidRPr="008F68D6">
        <w:rPr>
          <w:rFonts w:ascii="Cambria" w:hAnsi="Cambria" w:cstheme="minorHAnsi"/>
          <w:lang w:val="en-US"/>
        </w:rPr>
        <w:t>nd the short answer is</w:t>
      </w:r>
      <w:r w:rsidR="00F07AA1">
        <w:rPr>
          <w:rFonts w:ascii="Cambria" w:hAnsi="Cambria" w:cstheme="minorHAnsi"/>
          <w:lang w:val="en-US"/>
        </w:rPr>
        <w:t>:</w:t>
      </w:r>
      <w:r w:rsidR="002A6F21" w:rsidRPr="008F68D6">
        <w:rPr>
          <w:rFonts w:ascii="Cambria" w:hAnsi="Cambria" w:cstheme="minorHAnsi"/>
          <w:lang w:val="en-US"/>
        </w:rPr>
        <w:t xml:space="preserve"> </w:t>
      </w:r>
      <w:r w:rsidR="00A94F96" w:rsidRPr="008F68D6">
        <w:rPr>
          <w:rFonts w:ascii="Cambria" w:hAnsi="Cambria" w:cstheme="minorHAnsi"/>
          <w:lang w:val="en-US"/>
        </w:rPr>
        <w:t xml:space="preserve">whenever we would </w:t>
      </w:r>
      <w:r w:rsidR="00A94F96" w:rsidRPr="008F68D6">
        <w:rPr>
          <w:rFonts w:ascii="Cambria" w:hAnsi="Cambria" w:cstheme="minorHAnsi"/>
          <w:lang w:val="en-US"/>
        </w:rPr>
        <w:lastRenderedPageBreak/>
        <w:t>better comply with</w:t>
      </w:r>
      <w:r w:rsidR="00955365">
        <w:rPr>
          <w:rFonts w:ascii="Cambria" w:hAnsi="Cambria" w:cstheme="minorHAnsi"/>
          <w:lang w:val="en-US"/>
        </w:rPr>
        <w:t xml:space="preserve"> </w:t>
      </w:r>
      <w:r w:rsidR="00A94F96" w:rsidRPr="008F68D6">
        <w:rPr>
          <w:rFonts w:ascii="Cambria" w:hAnsi="Cambria" w:cstheme="minorHAnsi"/>
          <w:lang w:val="en-US"/>
        </w:rPr>
        <w:t>the</w:t>
      </w:r>
      <w:r w:rsidR="00F638D1" w:rsidRPr="008F68D6">
        <w:rPr>
          <w:rFonts w:ascii="Cambria" w:hAnsi="Cambria" w:cstheme="minorHAnsi"/>
          <w:lang w:val="en-US"/>
        </w:rPr>
        <w:t>se</w:t>
      </w:r>
      <w:r w:rsidR="00A94F96" w:rsidRPr="008F68D6">
        <w:rPr>
          <w:rFonts w:ascii="Cambria" w:hAnsi="Cambria" w:cstheme="minorHAnsi"/>
          <w:lang w:val="en-US"/>
        </w:rPr>
        <w:t xml:space="preserve"> moral norms</w:t>
      </w:r>
      <w:r w:rsidR="00755669" w:rsidRPr="008F68D6">
        <w:rPr>
          <w:rFonts w:ascii="Cambria" w:hAnsi="Cambria" w:cstheme="minorHAnsi"/>
          <w:lang w:val="en-US"/>
        </w:rPr>
        <w:t xml:space="preserve"> </w:t>
      </w:r>
      <w:r w:rsidR="00A94F96" w:rsidRPr="008F68D6">
        <w:rPr>
          <w:rFonts w:ascii="Cambria" w:hAnsi="Cambria" w:cstheme="minorHAnsi"/>
          <w:lang w:val="en-US"/>
        </w:rPr>
        <w:t>when we follow the law rather than our</w:t>
      </w:r>
      <w:r w:rsidR="00755669" w:rsidRPr="008F68D6">
        <w:rPr>
          <w:rFonts w:ascii="Cambria" w:hAnsi="Cambria" w:cstheme="minorHAnsi"/>
          <w:lang w:val="en-US"/>
        </w:rPr>
        <w:t xml:space="preserve"> </w:t>
      </w:r>
      <w:r w:rsidR="00A94F96" w:rsidRPr="008F68D6">
        <w:rPr>
          <w:rFonts w:ascii="Cambria" w:hAnsi="Cambria" w:cstheme="minorHAnsi"/>
          <w:lang w:val="en-US"/>
        </w:rPr>
        <w:t xml:space="preserve">own appraisal of </w:t>
      </w:r>
      <w:r w:rsidR="00955365">
        <w:rPr>
          <w:rFonts w:ascii="Cambria" w:hAnsi="Cambria" w:cstheme="minorHAnsi"/>
          <w:lang w:val="en-US"/>
        </w:rPr>
        <w:t xml:space="preserve">what </w:t>
      </w:r>
      <w:r w:rsidR="00A94F96" w:rsidRPr="008F68D6">
        <w:rPr>
          <w:rFonts w:ascii="Cambria" w:hAnsi="Cambria" w:cstheme="minorHAnsi"/>
          <w:lang w:val="en-US"/>
        </w:rPr>
        <w:t>the norms in question</w:t>
      </w:r>
      <w:r w:rsidR="00955365">
        <w:rPr>
          <w:rFonts w:ascii="Cambria" w:hAnsi="Cambria" w:cstheme="minorHAnsi"/>
          <w:lang w:val="en-US"/>
        </w:rPr>
        <w:t xml:space="preserve"> require</w:t>
      </w:r>
      <w:r w:rsidR="00A94F96" w:rsidRPr="008F68D6">
        <w:rPr>
          <w:rFonts w:ascii="Cambria" w:hAnsi="Cambria" w:cstheme="minorHAnsi"/>
          <w:lang w:val="en-US"/>
        </w:rPr>
        <w:t>. This is nothing more than Raz’s dependence</w:t>
      </w:r>
      <w:r w:rsidR="00755669" w:rsidRPr="008F68D6">
        <w:rPr>
          <w:rFonts w:ascii="Cambria" w:hAnsi="Cambria" w:cstheme="minorHAnsi"/>
          <w:lang w:val="en-US"/>
        </w:rPr>
        <w:t xml:space="preserve"> </w:t>
      </w:r>
      <w:r w:rsidR="00A94F96" w:rsidRPr="008F68D6">
        <w:rPr>
          <w:rFonts w:ascii="Cambria" w:hAnsi="Cambria" w:cstheme="minorHAnsi"/>
          <w:lang w:val="en-US"/>
        </w:rPr>
        <w:t>thesis in relation to his service conception of practical authority.</w:t>
      </w:r>
      <w:r w:rsidR="00FA79A0" w:rsidRPr="008F68D6">
        <w:rPr>
          <w:rStyle w:val="FootnoteReference"/>
          <w:rFonts w:ascii="Cambria" w:hAnsi="Cambria" w:cstheme="minorHAnsi"/>
          <w:lang w:val="en-US"/>
        </w:rPr>
        <w:footnoteReference w:id="17"/>
      </w:r>
      <w:r w:rsidR="00A94F96" w:rsidRPr="008F68D6">
        <w:rPr>
          <w:rFonts w:ascii="Cambria" w:hAnsi="Cambria" w:cstheme="minorHAnsi"/>
          <w:lang w:val="en-US"/>
        </w:rPr>
        <w:t xml:space="preserve"> </w:t>
      </w:r>
      <w:r w:rsidR="00CE74D1" w:rsidRPr="008F68D6">
        <w:rPr>
          <w:rFonts w:ascii="Cambria" w:hAnsi="Cambria" w:cstheme="minorHAnsi"/>
          <w:lang w:val="en-US"/>
        </w:rPr>
        <w:t xml:space="preserve">But there are, of course, </w:t>
      </w:r>
      <w:r w:rsidR="00A94F96" w:rsidRPr="008F68D6">
        <w:rPr>
          <w:rFonts w:ascii="Cambria" w:hAnsi="Cambria" w:cstheme="minorHAnsi"/>
          <w:lang w:val="en-US"/>
        </w:rPr>
        <w:t>many complications which go to show that this</w:t>
      </w:r>
      <w:r w:rsidR="00C95F70">
        <w:rPr>
          <w:rFonts w:ascii="Cambria" w:hAnsi="Cambria" w:cstheme="minorHAnsi"/>
          <w:lang w:val="en-US"/>
        </w:rPr>
        <w:t xml:space="preserve"> </w:t>
      </w:r>
      <w:r w:rsidR="00A94F96" w:rsidRPr="008F68D6">
        <w:rPr>
          <w:rFonts w:ascii="Cambria" w:hAnsi="Cambria" w:cstheme="minorHAnsi"/>
          <w:lang w:val="en-US"/>
        </w:rPr>
        <w:t>simple principle is often difficult to apply in practice.</w:t>
      </w:r>
      <w:r w:rsidR="00502FF1" w:rsidRPr="008F68D6">
        <w:rPr>
          <w:rFonts w:ascii="Cambria" w:hAnsi="Cambria" w:cstheme="minorHAnsi"/>
          <w:lang w:val="en-US"/>
        </w:rPr>
        <w:t xml:space="preserve"> The law is often clumsy, ineffective, e</w:t>
      </w:r>
      <w:r w:rsidR="004F4323" w:rsidRPr="008F68D6">
        <w:rPr>
          <w:rFonts w:ascii="Cambria" w:hAnsi="Cambria" w:cstheme="minorHAnsi"/>
          <w:lang w:val="en-US"/>
        </w:rPr>
        <w:t xml:space="preserve">xpensive, and to the extent the law not merely guides but coerces there </w:t>
      </w:r>
      <w:r w:rsidR="00D46420">
        <w:rPr>
          <w:rFonts w:ascii="Cambria" w:hAnsi="Cambria" w:cstheme="minorHAnsi"/>
          <w:lang w:val="en-US"/>
        </w:rPr>
        <w:t>are</w:t>
      </w:r>
      <w:r w:rsidR="004F4323" w:rsidRPr="008F68D6">
        <w:rPr>
          <w:rFonts w:ascii="Cambria" w:hAnsi="Cambria" w:cstheme="minorHAnsi"/>
          <w:lang w:val="en-US"/>
        </w:rPr>
        <w:t xml:space="preserve"> always the bad effects of coercion to consider. </w:t>
      </w:r>
      <w:r w:rsidR="00464BFF" w:rsidRPr="008F68D6">
        <w:rPr>
          <w:rFonts w:ascii="Cambria" w:hAnsi="Cambria" w:cstheme="minorHAnsi"/>
          <w:lang w:val="en-US"/>
        </w:rPr>
        <w:t>F</w:t>
      </w:r>
      <w:r w:rsidR="00D71E43" w:rsidRPr="008F68D6">
        <w:rPr>
          <w:rFonts w:ascii="Cambria" w:hAnsi="Cambria" w:cstheme="minorHAnsi"/>
          <w:lang w:val="en-US"/>
        </w:rPr>
        <w:t>or the instrumentalist, it is all a matter</w:t>
      </w:r>
      <w:r w:rsidR="00464BFF" w:rsidRPr="008F68D6">
        <w:rPr>
          <w:rFonts w:ascii="Cambria" w:hAnsi="Cambria" w:cstheme="minorHAnsi"/>
          <w:lang w:val="en-US"/>
        </w:rPr>
        <w:t xml:space="preserve"> </w:t>
      </w:r>
      <w:r w:rsidR="00D71E43" w:rsidRPr="008F68D6">
        <w:rPr>
          <w:rFonts w:ascii="Cambria" w:hAnsi="Cambria" w:cstheme="minorHAnsi"/>
          <w:lang w:val="en-US"/>
        </w:rPr>
        <w:t xml:space="preserve">of the </w:t>
      </w:r>
      <w:r w:rsidR="00896CF2" w:rsidRPr="008F68D6">
        <w:rPr>
          <w:rFonts w:ascii="Cambria" w:hAnsi="Cambria" w:cstheme="minorHAnsi"/>
          <w:lang w:val="en-US"/>
        </w:rPr>
        <w:t xml:space="preserve">valid reasons for and against </w:t>
      </w:r>
      <w:r w:rsidR="00D71E43" w:rsidRPr="008F68D6">
        <w:rPr>
          <w:rFonts w:ascii="Cambria" w:hAnsi="Cambria" w:cstheme="minorHAnsi"/>
          <w:lang w:val="en-US"/>
        </w:rPr>
        <w:t>the law’s creating legal norms that reflect moral norms</w:t>
      </w:r>
      <w:r w:rsidR="00464BFF" w:rsidRPr="008F68D6">
        <w:rPr>
          <w:rFonts w:ascii="Cambria" w:hAnsi="Cambria" w:cstheme="minorHAnsi"/>
          <w:lang w:val="en-US"/>
        </w:rPr>
        <w:t xml:space="preserve"> </w:t>
      </w:r>
      <w:r w:rsidR="00D71E43" w:rsidRPr="008F68D6">
        <w:rPr>
          <w:rFonts w:ascii="Cambria" w:hAnsi="Cambria" w:cstheme="minorHAnsi"/>
          <w:lang w:val="en-US"/>
        </w:rPr>
        <w:t xml:space="preserve">(or creating legal norms that have other functions, </w:t>
      </w:r>
      <w:proofErr w:type="spellStart"/>
      <w:proofErr w:type="gramStart"/>
      <w:r w:rsidR="00D71E43" w:rsidRPr="008F68D6">
        <w:rPr>
          <w:rFonts w:ascii="Cambria" w:hAnsi="Cambria" w:cstheme="minorHAnsi"/>
          <w:lang w:val="en-US"/>
        </w:rPr>
        <w:t>eg</w:t>
      </w:r>
      <w:proofErr w:type="spellEnd"/>
      <w:proofErr w:type="gramEnd"/>
      <w:r w:rsidR="00D71E43" w:rsidRPr="008F68D6">
        <w:rPr>
          <w:rFonts w:ascii="Cambria" w:hAnsi="Cambria" w:cstheme="minorHAnsi"/>
          <w:lang w:val="en-US"/>
        </w:rPr>
        <w:t xml:space="preserve"> facilitating commerce)</w:t>
      </w:r>
      <w:r w:rsidR="00260E31" w:rsidRPr="008F68D6">
        <w:rPr>
          <w:rFonts w:ascii="Cambria" w:hAnsi="Cambria" w:cstheme="minorHAnsi"/>
          <w:lang w:val="en-US"/>
        </w:rPr>
        <w:t xml:space="preserve"> in light of the prevailing social conditions.</w:t>
      </w:r>
      <w:r w:rsidR="000E74C2" w:rsidRPr="008F68D6">
        <w:rPr>
          <w:rStyle w:val="FootnoteReference"/>
          <w:rFonts w:ascii="Cambria" w:hAnsi="Cambria" w:cstheme="minorHAnsi"/>
          <w:lang w:val="en-US"/>
        </w:rPr>
        <w:footnoteReference w:id="18"/>
      </w:r>
    </w:p>
    <w:p w14:paraId="32D40618" w14:textId="0A654BE8" w:rsidR="00A55B2E" w:rsidRPr="008F68D6" w:rsidRDefault="00A55B2E" w:rsidP="008F68D6">
      <w:pPr>
        <w:jc w:val="both"/>
        <w:rPr>
          <w:rFonts w:ascii="Cambria" w:hAnsi="Cambria" w:cstheme="minorHAnsi"/>
          <w:lang w:val="en-US"/>
        </w:rPr>
      </w:pPr>
    </w:p>
    <w:p w14:paraId="6B0C4458" w14:textId="70D85607" w:rsidR="00644BFA" w:rsidRDefault="00C71660" w:rsidP="008F68D6">
      <w:pPr>
        <w:jc w:val="both"/>
        <w:rPr>
          <w:rFonts w:ascii="Cambria" w:hAnsi="Cambria" w:cstheme="minorHAnsi"/>
          <w:lang w:val="en-US"/>
        </w:rPr>
      </w:pPr>
      <w:r w:rsidRPr="008F68D6">
        <w:rPr>
          <w:rFonts w:ascii="Cambria" w:hAnsi="Cambria" w:cstheme="minorHAnsi"/>
          <w:lang w:val="en-US"/>
        </w:rPr>
        <w:t xml:space="preserve">I now want to suggest that Raz’s own discussions of </w:t>
      </w:r>
      <w:r w:rsidR="00515246" w:rsidRPr="008F68D6">
        <w:rPr>
          <w:rFonts w:ascii="Cambria" w:hAnsi="Cambria" w:cstheme="minorHAnsi"/>
          <w:lang w:val="en-US"/>
        </w:rPr>
        <w:t xml:space="preserve">this ‘morality of right’ show that regarding the private law as primarily, at least, concerned with the independence condition of </w:t>
      </w:r>
      <w:r w:rsidR="00050CF1" w:rsidRPr="008F68D6">
        <w:rPr>
          <w:rFonts w:ascii="Cambria" w:hAnsi="Cambria" w:cstheme="minorHAnsi"/>
          <w:lang w:val="en-US"/>
        </w:rPr>
        <w:t>autonomy is compatible with th</w:t>
      </w:r>
      <w:r w:rsidR="00521AAD">
        <w:rPr>
          <w:rFonts w:ascii="Cambria" w:hAnsi="Cambria" w:cstheme="minorHAnsi"/>
          <w:lang w:val="en-US"/>
        </w:rPr>
        <w:t>is</w:t>
      </w:r>
      <w:r w:rsidR="00050CF1" w:rsidRPr="008F68D6">
        <w:rPr>
          <w:rFonts w:ascii="Cambria" w:hAnsi="Cambria" w:cstheme="minorHAnsi"/>
          <w:lang w:val="en-US"/>
        </w:rPr>
        <w:t xml:space="preserve"> picture of private law.</w:t>
      </w:r>
      <w:r w:rsidR="00F77718">
        <w:rPr>
          <w:rFonts w:ascii="Cambria" w:hAnsi="Cambria" w:cstheme="minorHAnsi"/>
          <w:lang w:val="en-US"/>
        </w:rPr>
        <w:t xml:space="preserve"> </w:t>
      </w:r>
    </w:p>
    <w:p w14:paraId="796C12EA" w14:textId="421E8302" w:rsidR="00F77718" w:rsidRDefault="00F77718" w:rsidP="008F68D6">
      <w:pPr>
        <w:jc w:val="both"/>
        <w:rPr>
          <w:rFonts w:ascii="Cambria" w:hAnsi="Cambria" w:cstheme="minorHAnsi"/>
          <w:lang w:val="en-US"/>
        </w:rPr>
      </w:pPr>
    </w:p>
    <w:p w14:paraId="10E5AD97" w14:textId="77777777" w:rsidR="00F77718" w:rsidRPr="008F68D6" w:rsidRDefault="00F77718" w:rsidP="00F77718">
      <w:pPr>
        <w:jc w:val="both"/>
        <w:rPr>
          <w:rFonts w:ascii="Cambria" w:hAnsi="Cambria" w:cstheme="minorHAnsi"/>
          <w:lang w:val="en-US"/>
        </w:rPr>
      </w:pPr>
      <w:r w:rsidRPr="008F68D6">
        <w:rPr>
          <w:rFonts w:ascii="Cambria" w:hAnsi="Cambria" w:cstheme="minorHAnsi"/>
          <w:lang w:val="en-US"/>
        </w:rPr>
        <w:t xml:space="preserve">Regarding our rational agency, Raz says: </w:t>
      </w:r>
    </w:p>
    <w:p w14:paraId="56414229" w14:textId="77777777" w:rsidR="00F77718" w:rsidRPr="008F68D6" w:rsidRDefault="00F77718" w:rsidP="00F77718">
      <w:pPr>
        <w:jc w:val="both"/>
        <w:rPr>
          <w:rFonts w:ascii="Cambria" w:hAnsi="Cambria" w:cstheme="minorHAnsi"/>
          <w:lang w:val="en-US"/>
        </w:rPr>
      </w:pPr>
    </w:p>
    <w:p w14:paraId="2094039A" w14:textId="77777777" w:rsidR="00F77718" w:rsidRPr="008F68D6" w:rsidRDefault="00F77718" w:rsidP="00F77718">
      <w:pPr>
        <w:ind w:left="720"/>
        <w:jc w:val="both"/>
        <w:rPr>
          <w:rFonts w:ascii="Cambria" w:hAnsi="Cambria" w:cstheme="minorHAnsi"/>
          <w:lang w:val="en-US"/>
        </w:rPr>
      </w:pPr>
      <w:r w:rsidRPr="008F68D6">
        <w:rPr>
          <w:rFonts w:ascii="Cambria" w:hAnsi="Cambria" w:cstheme="minorHAnsi"/>
          <w:lang w:val="en-US"/>
        </w:rPr>
        <w:t>The powers of reasoning and understanding are among our rational capacities, whereas the capacity to control our conduct enables us to express our rational capacities in action. We are responsible for our conduct because we are rational agents, and as rational agents.</w:t>
      </w:r>
      <w:r w:rsidRPr="008F68D6">
        <w:rPr>
          <w:rStyle w:val="FootnoteReference"/>
          <w:rFonts w:ascii="Cambria" w:hAnsi="Cambria" w:cstheme="minorHAnsi"/>
          <w:lang w:val="en-US"/>
        </w:rPr>
        <w:footnoteReference w:id="19"/>
      </w:r>
    </w:p>
    <w:p w14:paraId="465B7C94" w14:textId="77777777" w:rsidR="00605F6B" w:rsidRDefault="00605F6B" w:rsidP="002D24BB">
      <w:pPr>
        <w:jc w:val="both"/>
        <w:rPr>
          <w:rFonts w:ascii="Cambria" w:hAnsi="Cambria" w:cstheme="minorHAnsi"/>
          <w:lang w:val="en-US"/>
        </w:rPr>
      </w:pPr>
    </w:p>
    <w:p w14:paraId="468B06C1" w14:textId="42F2D195" w:rsidR="002D24BB" w:rsidRPr="008F68D6" w:rsidRDefault="00605F6B" w:rsidP="002D24BB">
      <w:pPr>
        <w:jc w:val="both"/>
        <w:rPr>
          <w:rFonts w:ascii="Cambria" w:hAnsi="Cambria" w:cstheme="minorHAnsi"/>
          <w:lang w:val="en-US"/>
        </w:rPr>
      </w:pPr>
      <w:r>
        <w:rPr>
          <w:rFonts w:ascii="Cambria" w:hAnsi="Cambria" w:cstheme="minorHAnsi"/>
          <w:lang w:val="en-US"/>
        </w:rPr>
        <w:t>More directly,</w:t>
      </w:r>
      <w:r w:rsidR="002D24BB" w:rsidRPr="008F68D6">
        <w:rPr>
          <w:rFonts w:ascii="Cambria" w:hAnsi="Cambria" w:cstheme="minorHAnsi"/>
          <w:lang w:val="en-US"/>
        </w:rPr>
        <w:t xml:space="preserve"> private law has the same concerns as are found in Raz’s discussion of the independence condition.</w:t>
      </w:r>
      <w:r w:rsidR="002D24BB" w:rsidRPr="008F68D6">
        <w:rPr>
          <w:rStyle w:val="FootnoteReference"/>
          <w:rFonts w:ascii="Cambria" w:hAnsi="Cambria" w:cstheme="minorHAnsi"/>
          <w:lang w:val="en-US"/>
        </w:rPr>
        <w:footnoteReference w:id="20"/>
      </w:r>
      <w:r w:rsidR="002D24BB" w:rsidRPr="008F68D6">
        <w:rPr>
          <w:rFonts w:ascii="Cambria" w:hAnsi="Cambria" w:cstheme="minorHAnsi"/>
          <w:lang w:val="en-US"/>
        </w:rPr>
        <w:t xml:space="preserve"> To take an example, private law is obviously primarily concerned with securing the absence, so far as possible, of coercion and manipulation. On this Raz says:</w:t>
      </w:r>
      <w:r w:rsidR="002D24BB" w:rsidRPr="008F68D6">
        <w:rPr>
          <w:rStyle w:val="FootnoteReference"/>
          <w:rFonts w:ascii="Cambria" w:hAnsi="Cambria" w:cstheme="minorHAnsi"/>
          <w:lang w:val="en-US"/>
        </w:rPr>
        <w:footnoteReference w:id="21"/>
      </w:r>
      <w:r w:rsidR="002D24BB" w:rsidRPr="008F68D6">
        <w:rPr>
          <w:rFonts w:ascii="Cambria" w:hAnsi="Cambria" w:cstheme="minorHAnsi"/>
          <w:lang w:val="en-US"/>
        </w:rPr>
        <w:t xml:space="preserve"> </w:t>
      </w:r>
    </w:p>
    <w:p w14:paraId="5E8EF7EC" w14:textId="77777777" w:rsidR="002D24BB" w:rsidRPr="008F68D6" w:rsidRDefault="002D24BB" w:rsidP="002D24BB">
      <w:pPr>
        <w:ind w:left="720"/>
        <w:jc w:val="both"/>
        <w:rPr>
          <w:rFonts w:ascii="Cambria" w:hAnsi="Cambria" w:cstheme="minorHAnsi"/>
          <w:lang w:val="en-US"/>
        </w:rPr>
      </w:pPr>
    </w:p>
    <w:p w14:paraId="2DCA0276" w14:textId="77777777" w:rsidR="002D24BB" w:rsidRPr="008F68D6" w:rsidRDefault="002D24BB" w:rsidP="002D24BB">
      <w:pPr>
        <w:ind w:left="720"/>
        <w:jc w:val="both"/>
        <w:rPr>
          <w:rFonts w:ascii="Cambria" w:hAnsi="Cambria" w:cstheme="minorHAnsi"/>
          <w:lang w:val="en-US"/>
        </w:rPr>
      </w:pPr>
      <w:r w:rsidRPr="008F68D6">
        <w:rPr>
          <w:rFonts w:ascii="Cambria" w:hAnsi="Cambria" w:cstheme="minorHAnsi"/>
          <w:lang w:val="en-US"/>
        </w:rPr>
        <w:t>Coercion and manipulation draw our attention to a separate dimension of the conditions of personal autonomy: independence. It cannot be reduced to any of the others. It attests to the fact that autonomy is in part a social ideal. It designates one of the proper relations between people.</w:t>
      </w:r>
    </w:p>
    <w:p w14:paraId="2794C210" w14:textId="77777777" w:rsidR="00F77718" w:rsidRPr="008F68D6" w:rsidRDefault="00F77718" w:rsidP="008F68D6">
      <w:pPr>
        <w:jc w:val="both"/>
        <w:rPr>
          <w:rFonts w:ascii="Cambria" w:hAnsi="Cambria" w:cstheme="minorHAnsi"/>
          <w:lang w:val="en-US"/>
        </w:rPr>
      </w:pPr>
    </w:p>
    <w:p w14:paraId="2565B3E5" w14:textId="77777777" w:rsidR="005D66A8" w:rsidRPr="008F68D6" w:rsidRDefault="005D66A8" w:rsidP="005D66A8">
      <w:pPr>
        <w:jc w:val="both"/>
        <w:rPr>
          <w:rFonts w:ascii="Cambria" w:hAnsi="Cambria" w:cstheme="minorHAnsi"/>
          <w:lang w:val="en-US"/>
        </w:rPr>
      </w:pPr>
      <w:r w:rsidRPr="008F68D6">
        <w:rPr>
          <w:rFonts w:ascii="Cambria" w:hAnsi="Cambria" w:cstheme="minorHAnsi"/>
          <w:lang w:val="en-US"/>
        </w:rPr>
        <w:t>On property rights and body rights Raz writes:</w:t>
      </w:r>
    </w:p>
    <w:p w14:paraId="49B30FA3" w14:textId="77777777" w:rsidR="005D66A8" w:rsidRPr="008F68D6" w:rsidRDefault="005D66A8" w:rsidP="005D66A8">
      <w:pPr>
        <w:jc w:val="both"/>
        <w:rPr>
          <w:rFonts w:ascii="Cambria" w:hAnsi="Cambria" w:cstheme="minorHAnsi"/>
          <w:lang w:val="en-US"/>
        </w:rPr>
      </w:pPr>
    </w:p>
    <w:p w14:paraId="756BC9F0" w14:textId="77777777" w:rsidR="005D66A8" w:rsidRPr="008F68D6" w:rsidRDefault="005D66A8" w:rsidP="005D66A8">
      <w:pPr>
        <w:ind w:left="720"/>
        <w:jc w:val="both"/>
        <w:rPr>
          <w:rFonts w:ascii="Cambria" w:hAnsi="Cambria" w:cstheme="minorHAnsi"/>
          <w:lang w:val="en-US"/>
        </w:rPr>
      </w:pPr>
      <w:r w:rsidRPr="008F68D6">
        <w:rPr>
          <w:rFonts w:ascii="Cambria" w:hAnsi="Cambria" w:cstheme="minorHAnsi"/>
          <w:lang w:val="en-US"/>
        </w:rPr>
        <w:t xml:space="preserve">Both the use-value and the exchange-value of property represent opportunities for their owner. Any harm to a person by denying him the use or value of his property is a harm to him precisely because it diminishes his opportunities. </w:t>
      </w:r>
      <w:proofErr w:type="gramStart"/>
      <w:r w:rsidRPr="008F68D6">
        <w:rPr>
          <w:rFonts w:ascii="Cambria" w:hAnsi="Cambria" w:cstheme="minorHAnsi"/>
          <w:lang w:val="en-US"/>
        </w:rPr>
        <w:t>Similarly</w:t>
      </w:r>
      <w:proofErr w:type="gramEnd"/>
      <w:r w:rsidRPr="008F68D6">
        <w:rPr>
          <w:rFonts w:ascii="Cambria" w:hAnsi="Cambria" w:cstheme="minorHAnsi"/>
          <w:lang w:val="en-US"/>
        </w:rPr>
        <w:t xml:space="preserve"> injury to the person reduces his ability to act in ways which he may desire. Needless to </w:t>
      </w:r>
      <w:proofErr w:type="gramStart"/>
      <w:r w:rsidRPr="008F68D6">
        <w:rPr>
          <w:rFonts w:ascii="Cambria" w:hAnsi="Cambria" w:cstheme="minorHAnsi"/>
          <w:lang w:val="en-US"/>
        </w:rPr>
        <w:t>say</w:t>
      </w:r>
      <w:proofErr w:type="gramEnd"/>
      <w:r w:rsidRPr="008F68D6">
        <w:rPr>
          <w:rFonts w:ascii="Cambria" w:hAnsi="Cambria" w:cstheme="minorHAnsi"/>
          <w:lang w:val="en-US"/>
        </w:rPr>
        <w:t xml:space="preserve"> a harm to a person may consist not in depriving him of options but in frustrating his pursuit of the projects and relationships he has set upon.</w:t>
      </w:r>
      <w:r w:rsidRPr="008F68D6">
        <w:rPr>
          <w:rStyle w:val="FootnoteReference"/>
          <w:rFonts w:ascii="Cambria" w:hAnsi="Cambria" w:cstheme="minorHAnsi"/>
          <w:lang w:val="en-US"/>
        </w:rPr>
        <w:footnoteReference w:id="22"/>
      </w:r>
    </w:p>
    <w:p w14:paraId="432EE157" w14:textId="77777777" w:rsidR="005D66A8" w:rsidRPr="008F68D6" w:rsidRDefault="005D66A8" w:rsidP="005D66A8">
      <w:pPr>
        <w:jc w:val="both"/>
        <w:rPr>
          <w:rFonts w:ascii="Cambria" w:hAnsi="Cambria" w:cstheme="minorHAnsi"/>
          <w:lang w:val="en-US"/>
        </w:rPr>
      </w:pPr>
    </w:p>
    <w:p w14:paraId="7887A8D5" w14:textId="77777777" w:rsidR="005D66A8" w:rsidRPr="008F68D6" w:rsidRDefault="005D66A8" w:rsidP="005D66A8">
      <w:pPr>
        <w:jc w:val="both"/>
        <w:rPr>
          <w:rFonts w:ascii="Cambria" w:hAnsi="Cambria" w:cstheme="minorHAnsi"/>
          <w:lang w:val="en-US"/>
        </w:rPr>
      </w:pPr>
      <w:r w:rsidRPr="008F68D6">
        <w:rPr>
          <w:rFonts w:ascii="Cambria" w:hAnsi="Cambria" w:cstheme="minorHAnsi"/>
          <w:lang w:val="en-US"/>
        </w:rPr>
        <w:lastRenderedPageBreak/>
        <w:t>Turning to the facilitative side of law,</w:t>
      </w:r>
      <w:r w:rsidRPr="008F68D6">
        <w:rPr>
          <w:rStyle w:val="FootnoteReference"/>
          <w:rFonts w:ascii="Cambria" w:hAnsi="Cambria" w:cstheme="minorHAnsi"/>
          <w:lang w:val="en-US"/>
        </w:rPr>
        <w:footnoteReference w:id="23"/>
      </w:r>
      <w:r w:rsidRPr="008F68D6">
        <w:rPr>
          <w:rFonts w:ascii="Cambria" w:hAnsi="Cambria" w:cstheme="minorHAnsi"/>
          <w:lang w:val="en-US"/>
        </w:rPr>
        <w:t xml:space="preserve"> the following passage reveals some of Raz’s thoughts on the law of contract:</w:t>
      </w:r>
    </w:p>
    <w:p w14:paraId="0764F89B" w14:textId="77777777" w:rsidR="005D66A8" w:rsidRPr="008F68D6" w:rsidRDefault="005D66A8" w:rsidP="005D66A8">
      <w:pPr>
        <w:jc w:val="both"/>
        <w:rPr>
          <w:rFonts w:ascii="Cambria" w:hAnsi="Cambria" w:cstheme="minorHAnsi"/>
          <w:lang w:val="en-US"/>
        </w:rPr>
      </w:pPr>
    </w:p>
    <w:p w14:paraId="47A20449" w14:textId="77777777" w:rsidR="005D66A8" w:rsidRPr="008F68D6" w:rsidRDefault="005D66A8" w:rsidP="005D66A8">
      <w:pPr>
        <w:ind w:left="720"/>
        <w:jc w:val="both"/>
        <w:rPr>
          <w:rFonts w:ascii="Cambria" w:hAnsi="Cambria" w:cstheme="minorHAnsi"/>
          <w:lang w:val="en-US"/>
        </w:rPr>
      </w:pPr>
      <w:r w:rsidRPr="008F68D6">
        <w:rPr>
          <w:rFonts w:ascii="Cambria" w:hAnsi="Cambria" w:cstheme="minorHAnsi"/>
          <w:lang w:val="en-US"/>
        </w:rPr>
        <w:t>In the case of promises the value of the power [to contract] is that it expands peoples’ abilities to fashion their lives, or aspects of their lives, by their actions. Through their promises they commit themselves to others. Up to a point, promises are analogous to decisions that constitute reasons for the deciders to perform the act they decided to perform. Both are ways of opening up options through closing other options, normatively speaking. Decisions, as well as having goals, facilitate undertaking complex activities (giving a ball, writing a symphony, etc.) that require a series of actions or concerted actions. Promises, being commitment</w:t>
      </w:r>
      <w:r>
        <w:rPr>
          <w:rFonts w:ascii="Cambria" w:hAnsi="Cambria" w:cstheme="minorHAnsi"/>
          <w:lang w:val="en-US"/>
        </w:rPr>
        <w:t>s</w:t>
      </w:r>
      <w:r w:rsidRPr="008F68D6">
        <w:rPr>
          <w:rFonts w:ascii="Cambria" w:hAnsi="Cambria" w:cstheme="minorHAnsi"/>
          <w:lang w:val="en-US"/>
        </w:rPr>
        <w:t xml:space="preserve"> to others, facilitate cooperation, the forging of relations that presuppose dependence, trust and joint actions, and more. For the sake of </w:t>
      </w:r>
      <w:proofErr w:type="gramStart"/>
      <w:r w:rsidRPr="008F68D6">
        <w:rPr>
          <w:rFonts w:ascii="Cambria" w:hAnsi="Cambria" w:cstheme="minorHAnsi"/>
          <w:lang w:val="en-US"/>
        </w:rPr>
        <w:t>brevity</w:t>
      </w:r>
      <w:proofErr w:type="gramEnd"/>
      <w:r w:rsidRPr="008F68D6">
        <w:rPr>
          <w:rFonts w:ascii="Cambria" w:hAnsi="Cambria" w:cstheme="minorHAnsi"/>
          <w:lang w:val="en-US"/>
        </w:rPr>
        <w:t xml:space="preserve"> I will refer to the value of having these powers as the value of enhanced control (of one’s life), though a somewhat different explanation of their value is required when the powers are held by institutions.</w:t>
      </w:r>
      <w:r w:rsidRPr="008F68D6">
        <w:rPr>
          <w:rStyle w:val="FootnoteReference"/>
          <w:rFonts w:ascii="Cambria" w:hAnsi="Cambria" w:cstheme="minorHAnsi"/>
          <w:lang w:val="en-US"/>
        </w:rPr>
        <w:footnoteReference w:id="24"/>
      </w:r>
      <w:r w:rsidRPr="008F68D6">
        <w:rPr>
          <w:rFonts w:ascii="Cambria" w:hAnsi="Cambria" w:cstheme="minorHAnsi"/>
          <w:lang w:val="en-US"/>
        </w:rPr>
        <w:t xml:space="preserve"> </w:t>
      </w:r>
    </w:p>
    <w:p w14:paraId="2C476C6C" w14:textId="77777777" w:rsidR="00644BFA" w:rsidRPr="008F68D6" w:rsidRDefault="00644BFA" w:rsidP="008F68D6">
      <w:pPr>
        <w:jc w:val="both"/>
        <w:rPr>
          <w:rFonts w:ascii="Cambria" w:hAnsi="Cambria" w:cstheme="minorHAnsi"/>
          <w:lang w:val="en-US"/>
        </w:rPr>
      </w:pPr>
    </w:p>
    <w:p w14:paraId="10A99BC0" w14:textId="76F2A4FE" w:rsidR="00376AF0" w:rsidRPr="008F68D6" w:rsidRDefault="00B20BD9" w:rsidP="008F68D6">
      <w:pPr>
        <w:jc w:val="both"/>
        <w:rPr>
          <w:rFonts w:ascii="Cambria" w:hAnsi="Cambria" w:cstheme="minorHAnsi"/>
          <w:lang w:val="en-US"/>
        </w:rPr>
      </w:pPr>
      <w:r>
        <w:rPr>
          <w:rFonts w:ascii="Cambria" w:hAnsi="Cambria" w:cstheme="minorHAnsi"/>
          <w:lang w:val="en-US"/>
        </w:rPr>
        <w:t>Moreover, t</w:t>
      </w:r>
      <w:r w:rsidR="00376AF0" w:rsidRPr="008F68D6">
        <w:rPr>
          <w:rFonts w:ascii="Cambria" w:hAnsi="Cambria" w:cstheme="minorHAnsi"/>
          <w:lang w:val="en-US"/>
        </w:rPr>
        <w:t>he Kantian instrumentalist characterisation of private law</w:t>
      </w:r>
      <w:r w:rsidR="00644BFA" w:rsidRPr="008F68D6">
        <w:rPr>
          <w:rFonts w:ascii="Cambria" w:hAnsi="Cambria" w:cstheme="minorHAnsi"/>
          <w:lang w:val="en-US"/>
        </w:rPr>
        <w:t xml:space="preserve"> </w:t>
      </w:r>
      <w:r w:rsidR="00376AF0" w:rsidRPr="008F68D6">
        <w:rPr>
          <w:rFonts w:ascii="Cambria" w:hAnsi="Cambria" w:cstheme="minorHAnsi"/>
          <w:lang w:val="en-US"/>
        </w:rPr>
        <w:t xml:space="preserve">reflects a </w:t>
      </w:r>
      <w:r>
        <w:rPr>
          <w:rFonts w:ascii="Cambria" w:hAnsi="Cambria" w:cstheme="minorHAnsi"/>
          <w:lang w:val="en-US"/>
        </w:rPr>
        <w:t>‘</w:t>
      </w:r>
      <w:r w:rsidR="00376AF0" w:rsidRPr="008F68D6">
        <w:rPr>
          <w:rFonts w:ascii="Cambria" w:hAnsi="Cambria" w:cstheme="minorHAnsi"/>
          <w:lang w:val="en-US"/>
        </w:rPr>
        <w:t>rights-based morality</w:t>
      </w:r>
      <w:r>
        <w:rPr>
          <w:rFonts w:ascii="Cambria" w:hAnsi="Cambria" w:cstheme="minorHAnsi"/>
          <w:lang w:val="en-US"/>
        </w:rPr>
        <w:t>’ as</w:t>
      </w:r>
      <w:r w:rsidR="00376AF0" w:rsidRPr="008F68D6">
        <w:rPr>
          <w:rFonts w:ascii="Cambria" w:hAnsi="Cambria" w:cstheme="minorHAnsi"/>
          <w:lang w:val="en-US"/>
        </w:rPr>
        <w:t xml:space="preserve"> Raz has characterized</w:t>
      </w:r>
      <w:r>
        <w:rPr>
          <w:rFonts w:ascii="Cambria" w:hAnsi="Cambria" w:cstheme="minorHAnsi"/>
          <w:lang w:val="en-US"/>
        </w:rPr>
        <w:t xml:space="preserve"> i</w:t>
      </w:r>
      <w:r w:rsidR="00672841">
        <w:rPr>
          <w:rFonts w:ascii="Cambria" w:hAnsi="Cambria" w:cstheme="minorHAnsi"/>
          <w:lang w:val="en-US"/>
        </w:rPr>
        <w:t>t, a ‘</w:t>
      </w:r>
      <w:r w:rsidR="00376AF0" w:rsidRPr="008F68D6">
        <w:rPr>
          <w:rFonts w:ascii="Cambria" w:hAnsi="Cambria" w:cstheme="minorHAnsi"/>
          <w:lang w:val="en-US"/>
        </w:rPr>
        <w:t>morality</w:t>
      </w:r>
      <w:r w:rsidR="00672841">
        <w:rPr>
          <w:rFonts w:ascii="Cambria" w:hAnsi="Cambria" w:cstheme="minorHAnsi"/>
          <w:lang w:val="en-US"/>
        </w:rPr>
        <w:t xml:space="preserve"> in the narrow sense</w:t>
      </w:r>
      <w:r w:rsidR="006F501C">
        <w:rPr>
          <w:rFonts w:ascii="Cambria" w:hAnsi="Cambria" w:cstheme="minorHAnsi"/>
          <w:lang w:val="en-US"/>
        </w:rPr>
        <w:t>’</w:t>
      </w:r>
      <w:r w:rsidR="00376AF0" w:rsidRPr="008F68D6">
        <w:rPr>
          <w:rFonts w:ascii="Cambria" w:hAnsi="Cambria" w:cstheme="minorHAnsi"/>
          <w:lang w:val="en-US"/>
        </w:rPr>
        <w:t>:</w:t>
      </w:r>
      <w:r w:rsidR="00376AF0" w:rsidRPr="008F68D6">
        <w:rPr>
          <w:rStyle w:val="FootnoteReference"/>
          <w:rFonts w:ascii="Cambria" w:hAnsi="Cambria" w:cstheme="minorHAnsi"/>
          <w:lang w:val="en-US"/>
        </w:rPr>
        <w:footnoteReference w:id="25"/>
      </w:r>
    </w:p>
    <w:p w14:paraId="55C8BD6F" w14:textId="77777777" w:rsidR="00376AF0" w:rsidRPr="008F68D6" w:rsidRDefault="00376AF0" w:rsidP="008F68D6">
      <w:pPr>
        <w:ind w:left="720"/>
        <w:jc w:val="both"/>
        <w:rPr>
          <w:rFonts w:ascii="Cambria" w:hAnsi="Cambria" w:cstheme="minorHAnsi"/>
          <w:lang w:val="en-US"/>
        </w:rPr>
      </w:pPr>
    </w:p>
    <w:p w14:paraId="11183D5E" w14:textId="77777777" w:rsidR="00376AF0" w:rsidRPr="008F68D6" w:rsidRDefault="00376AF0" w:rsidP="008F68D6">
      <w:pPr>
        <w:ind w:left="720"/>
        <w:jc w:val="both"/>
        <w:rPr>
          <w:rFonts w:ascii="Cambria" w:hAnsi="Cambria" w:cstheme="minorHAnsi"/>
          <w:lang w:val="en-US"/>
        </w:rPr>
      </w:pPr>
      <w:r w:rsidRPr="008F68D6">
        <w:rPr>
          <w:rFonts w:ascii="Cambria" w:hAnsi="Cambria" w:cstheme="minorHAnsi"/>
          <w:lang w:val="en-US"/>
        </w:rPr>
        <w:t xml:space="preserve">Morality in this narrow sense is meant to include only all those principles which restrict the individual’s pursuit of his personal goals and his advancement of self-interest. It is not ‘the art of life’, </w:t>
      </w:r>
      <w:proofErr w:type="gramStart"/>
      <w:r w:rsidRPr="008F68D6">
        <w:rPr>
          <w:rFonts w:ascii="Cambria" w:hAnsi="Cambria" w:cstheme="minorHAnsi"/>
          <w:lang w:val="en-US"/>
        </w:rPr>
        <w:t>i.e.</w:t>
      </w:r>
      <w:proofErr w:type="gramEnd"/>
      <w:r w:rsidRPr="008F68D6">
        <w:rPr>
          <w:rFonts w:ascii="Cambria" w:hAnsi="Cambria" w:cstheme="minorHAnsi"/>
          <w:lang w:val="en-US"/>
        </w:rPr>
        <w:t xml:space="preserve"> the precepts instructing people how to live and what makes for a successful, meaningful, and worthwhile life. It is clear that right-based moralities can only be moralities in this narrow sense.</w:t>
      </w:r>
    </w:p>
    <w:p w14:paraId="69F70428" w14:textId="77777777" w:rsidR="00376AF0" w:rsidRPr="008F68D6" w:rsidRDefault="00376AF0" w:rsidP="008F68D6">
      <w:pPr>
        <w:jc w:val="both"/>
        <w:rPr>
          <w:rFonts w:ascii="Cambria" w:hAnsi="Cambria" w:cstheme="minorHAnsi"/>
          <w:lang w:val="en-US"/>
        </w:rPr>
      </w:pPr>
    </w:p>
    <w:p w14:paraId="10F225AC" w14:textId="694D0038" w:rsidR="00A55B2E" w:rsidRPr="008F68D6" w:rsidRDefault="00376AF0" w:rsidP="008F68D6">
      <w:pPr>
        <w:jc w:val="both"/>
        <w:rPr>
          <w:rFonts w:ascii="Cambria" w:hAnsi="Cambria" w:cstheme="minorHAnsi"/>
          <w:lang w:val="en-US"/>
        </w:rPr>
      </w:pPr>
      <w:r w:rsidRPr="008F68D6">
        <w:rPr>
          <w:rFonts w:ascii="Cambria" w:hAnsi="Cambria" w:cstheme="minorHAnsi"/>
          <w:lang w:val="en-US"/>
        </w:rPr>
        <w:t xml:space="preserve">I think we can rely upon a fairly intuitive and reasonably robust distinction between ‘morality’ and ‘ethics’ to </w:t>
      </w:r>
      <w:r w:rsidR="007B37E9" w:rsidRPr="008F68D6">
        <w:rPr>
          <w:rFonts w:ascii="Cambria" w:hAnsi="Cambria" w:cstheme="minorHAnsi"/>
          <w:lang w:val="en-US"/>
        </w:rPr>
        <w:t>help make sense of this</w:t>
      </w:r>
      <w:r w:rsidR="001650FA" w:rsidRPr="008F68D6">
        <w:rPr>
          <w:rFonts w:ascii="Cambria" w:hAnsi="Cambria" w:cstheme="minorHAnsi"/>
          <w:lang w:val="en-US"/>
        </w:rPr>
        <w:t xml:space="preserve">, morality encompassing the narrow morality Raz identifies, and ethics covering </w:t>
      </w:r>
      <w:r w:rsidR="0015793A" w:rsidRPr="008F68D6">
        <w:rPr>
          <w:rFonts w:ascii="Cambria" w:hAnsi="Cambria" w:cstheme="minorHAnsi"/>
          <w:lang w:val="en-US"/>
        </w:rPr>
        <w:t xml:space="preserve">‘the art of life’. I would argue that achieving an autonomous life clearly falls </w:t>
      </w:r>
      <w:r w:rsidR="007803F9">
        <w:rPr>
          <w:rFonts w:ascii="Cambria" w:hAnsi="Cambria" w:cstheme="minorHAnsi"/>
          <w:lang w:val="en-US"/>
        </w:rPr>
        <w:t>within</w:t>
      </w:r>
      <w:r w:rsidR="0015793A" w:rsidRPr="008F68D6">
        <w:rPr>
          <w:rFonts w:ascii="Cambria" w:hAnsi="Cambria" w:cstheme="minorHAnsi"/>
          <w:lang w:val="en-US"/>
        </w:rPr>
        <w:t xml:space="preserve"> the latter.</w:t>
      </w:r>
      <w:r w:rsidRPr="008F68D6">
        <w:rPr>
          <w:rStyle w:val="FootnoteReference"/>
          <w:rFonts w:ascii="Cambria" w:hAnsi="Cambria" w:cstheme="minorHAnsi"/>
          <w:lang w:val="en-US"/>
        </w:rPr>
        <w:footnoteReference w:id="26"/>
      </w:r>
      <w:r w:rsidR="00B9713F" w:rsidRPr="008F68D6">
        <w:rPr>
          <w:rFonts w:ascii="Cambria" w:hAnsi="Cambria" w:cstheme="minorHAnsi"/>
          <w:lang w:val="en-US"/>
        </w:rPr>
        <w:t xml:space="preserve"> But I would make a further point. I would argue that the e</w:t>
      </w:r>
      <w:r w:rsidR="00283F86" w:rsidRPr="008F68D6">
        <w:rPr>
          <w:rFonts w:ascii="Cambria" w:hAnsi="Cambria" w:cstheme="minorHAnsi"/>
          <w:lang w:val="en-US"/>
        </w:rPr>
        <w:t xml:space="preserve">thical </w:t>
      </w:r>
      <w:r w:rsidR="00283F86" w:rsidRPr="008F68D6">
        <w:rPr>
          <w:rFonts w:ascii="Cambria" w:hAnsi="Cambria" w:cstheme="minorHAnsi"/>
          <w:i/>
          <w:iCs/>
          <w:lang w:val="en-US"/>
        </w:rPr>
        <w:t>pre-supposes</w:t>
      </w:r>
      <w:r w:rsidR="00283F86" w:rsidRPr="008F68D6">
        <w:rPr>
          <w:rFonts w:ascii="Cambria" w:hAnsi="Cambria" w:cstheme="minorHAnsi"/>
          <w:lang w:val="en-US"/>
        </w:rPr>
        <w:t xml:space="preserve"> the moral</w:t>
      </w:r>
      <w:r w:rsidR="005F0E7E" w:rsidRPr="008F68D6">
        <w:rPr>
          <w:rFonts w:ascii="Cambria" w:hAnsi="Cambria" w:cstheme="minorHAnsi"/>
          <w:lang w:val="en-US"/>
        </w:rPr>
        <w:t xml:space="preserve">, not just </w:t>
      </w:r>
      <w:r w:rsidR="00CB2B04">
        <w:rPr>
          <w:rFonts w:ascii="Cambria" w:hAnsi="Cambria" w:cstheme="minorHAnsi"/>
          <w:lang w:val="en-US"/>
        </w:rPr>
        <w:t xml:space="preserve">in </w:t>
      </w:r>
      <w:r w:rsidR="005F0E7E" w:rsidRPr="008F68D6">
        <w:rPr>
          <w:rFonts w:ascii="Cambria" w:hAnsi="Cambria" w:cstheme="minorHAnsi"/>
          <w:lang w:val="en-US"/>
        </w:rPr>
        <w:t xml:space="preserve">the sense that securing the moral provides for the independence condition of personal </w:t>
      </w:r>
      <w:proofErr w:type="gramStart"/>
      <w:r w:rsidR="002701AB" w:rsidRPr="008F68D6">
        <w:rPr>
          <w:rFonts w:ascii="Cambria" w:hAnsi="Cambria" w:cstheme="minorHAnsi"/>
          <w:lang w:val="en-US"/>
        </w:rPr>
        <w:t>autonomy, but</w:t>
      </w:r>
      <w:proofErr w:type="gramEnd"/>
      <w:r w:rsidR="002701AB" w:rsidRPr="008F68D6">
        <w:rPr>
          <w:rFonts w:ascii="Cambria" w:hAnsi="Cambria" w:cstheme="minorHAnsi"/>
          <w:lang w:val="en-US"/>
        </w:rPr>
        <w:t xml:space="preserve"> secures </w:t>
      </w:r>
      <w:r w:rsidR="00824723">
        <w:rPr>
          <w:rFonts w:ascii="Cambria" w:hAnsi="Cambria" w:cstheme="minorHAnsi"/>
          <w:lang w:val="en-US"/>
        </w:rPr>
        <w:t xml:space="preserve">to </w:t>
      </w:r>
      <w:r w:rsidR="002701AB" w:rsidRPr="008F68D6">
        <w:rPr>
          <w:rFonts w:ascii="Cambria" w:hAnsi="Cambria" w:cstheme="minorHAnsi"/>
          <w:lang w:val="en-US"/>
        </w:rPr>
        <w:t xml:space="preserve">an agent the realm of </w:t>
      </w:r>
      <w:r w:rsidR="002701AB" w:rsidRPr="008F68D6">
        <w:rPr>
          <w:rFonts w:ascii="Cambria" w:hAnsi="Cambria" w:cstheme="minorHAnsi"/>
          <w:i/>
          <w:iCs/>
          <w:lang w:val="en-US"/>
        </w:rPr>
        <w:t>rightful</w:t>
      </w:r>
      <w:r w:rsidR="00FD574C" w:rsidRPr="008F68D6">
        <w:rPr>
          <w:rFonts w:ascii="Cambria" w:hAnsi="Cambria" w:cstheme="minorHAnsi"/>
          <w:lang w:val="en-US"/>
        </w:rPr>
        <w:t xml:space="preserve"> agency which is the necessary pre-condition to any rightful pursuit of any aspect of the good life</w:t>
      </w:r>
      <w:r w:rsidR="00EC4E9C" w:rsidRPr="008F68D6">
        <w:rPr>
          <w:rFonts w:ascii="Cambria" w:hAnsi="Cambria" w:cstheme="minorHAnsi"/>
          <w:lang w:val="en-US"/>
        </w:rPr>
        <w:t xml:space="preserve"> in whatever social conditions, including those in which personal autonomy is not the standard by which </w:t>
      </w:r>
      <w:r w:rsidR="00C037ED" w:rsidRPr="008F68D6">
        <w:rPr>
          <w:rFonts w:ascii="Cambria" w:hAnsi="Cambria" w:cstheme="minorHAnsi"/>
          <w:lang w:val="en-US"/>
        </w:rPr>
        <w:t>we assess a person’s success in life.</w:t>
      </w:r>
      <w:r w:rsidR="006C036F">
        <w:rPr>
          <w:rFonts w:ascii="Cambria" w:hAnsi="Cambria" w:cstheme="minorHAnsi"/>
          <w:lang w:val="en-US"/>
        </w:rPr>
        <w:t xml:space="preserve"> In this sense, the ‘independence condition’ secured by private law spans both those societies in which </w:t>
      </w:r>
      <w:r w:rsidR="00A57926">
        <w:rPr>
          <w:rFonts w:ascii="Cambria" w:hAnsi="Cambria" w:cstheme="minorHAnsi"/>
          <w:lang w:val="en-US"/>
        </w:rPr>
        <w:t>lives are successful when autonomous, and those societies where the</w:t>
      </w:r>
      <w:r w:rsidR="00843EC9">
        <w:rPr>
          <w:rFonts w:ascii="Cambria" w:hAnsi="Cambria" w:cstheme="minorHAnsi"/>
          <w:lang w:val="en-US"/>
        </w:rPr>
        <w:t xml:space="preserve"> goodness of a li</w:t>
      </w:r>
      <w:r w:rsidR="00CB79AC">
        <w:rPr>
          <w:rFonts w:ascii="Cambria" w:hAnsi="Cambria" w:cstheme="minorHAnsi"/>
          <w:lang w:val="en-US"/>
        </w:rPr>
        <w:t>f</w:t>
      </w:r>
      <w:r w:rsidR="00843EC9">
        <w:rPr>
          <w:rFonts w:ascii="Cambria" w:hAnsi="Cambria" w:cstheme="minorHAnsi"/>
          <w:lang w:val="en-US"/>
        </w:rPr>
        <w:t xml:space="preserve">e is not so measured. </w:t>
      </w:r>
    </w:p>
    <w:p w14:paraId="2FD62AF3" w14:textId="463A7F86" w:rsidR="00FA3D78" w:rsidRPr="008F68D6" w:rsidRDefault="00FA3D78" w:rsidP="008F68D6">
      <w:pPr>
        <w:jc w:val="both"/>
        <w:rPr>
          <w:rFonts w:ascii="Cambria" w:hAnsi="Cambria" w:cstheme="minorHAnsi"/>
          <w:lang w:val="en-US"/>
        </w:rPr>
      </w:pPr>
    </w:p>
    <w:p w14:paraId="6CF99A0C" w14:textId="3E9A2BD6" w:rsidR="00FA3D78" w:rsidRPr="008F68D6" w:rsidRDefault="00FA3D78" w:rsidP="008F68D6">
      <w:pPr>
        <w:jc w:val="both"/>
        <w:rPr>
          <w:rFonts w:ascii="Cambria" w:hAnsi="Cambria" w:cstheme="minorHAnsi"/>
          <w:lang w:val="en-US"/>
        </w:rPr>
      </w:pPr>
      <w:r w:rsidRPr="008F68D6">
        <w:rPr>
          <w:rFonts w:ascii="Cambria" w:hAnsi="Cambria" w:cstheme="minorHAnsi"/>
          <w:lang w:val="en-US"/>
        </w:rPr>
        <w:lastRenderedPageBreak/>
        <w:t>To the extent that the private law is a regime of rights</w:t>
      </w:r>
      <w:r w:rsidR="00BB3E94">
        <w:rPr>
          <w:rFonts w:ascii="Cambria" w:hAnsi="Cambria" w:cstheme="minorHAnsi"/>
          <w:lang w:val="en-US"/>
        </w:rPr>
        <w:t xml:space="preserve">, that is, reflects </w:t>
      </w:r>
      <w:r w:rsidR="000F2713">
        <w:rPr>
          <w:rFonts w:ascii="Cambria" w:hAnsi="Cambria" w:cstheme="minorHAnsi"/>
          <w:lang w:val="en-US"/>
        </w:rPr>
        <w:t>the rights-based, narrow conception of morality</w:t>
      </w:r>
      <w:r w:rsidRPr="008F68D6">
        <w:rPr>
          <w:rFonts w:ascii="Cambria" w:hAnsi="Cambria" w:cstheme="minorHAnsi"/>
          <w:lang w:val="en-US"/>
        </w:rPr>
        <w:t xml:space="preserve">, two remarks of Raz’s in his </w:t>
      </w:r>
      <w:r w:rsidR="000F2713">
        <w:rPr>
          <w:rFonts w:ascii="Cambria" w:hAnsi="Cambria" w:cstheme="minorHAnsi"/>
          <w:lang w:val="en-US"/>
        </w:rPr>
        <w:t>discussion</w:t>
      </w:r>
      <w:r w:rsidRPr="008F68D6">
        <w:rPr>
          <w:rFonts w:ascii="Cambria" w:hAnsi="Cambria" w:cstheme="minorHAnsi"/>
          <w:lang w:val="en-US"/>
        </w:rPr>
        <w:t xml:space="preserve"> of the limitations of right</w:t>
      </w:r>
      <w:r w:rsidR="00A2083D">
        <w:rPr>
          <w:rFonts w:ascii="Cambria" w:hAnsi="Cambria" w:cstheme="minorHAnsi"/>
          <w:lang w:val="en-US"/>
        </w:rPr>
        <w:t>s</w:t>
      </w:r>
      <w:r w:rsidRPr="008F68D6">
        <w:rPr>
          <w:rFonts w:ascii="Cambria" w:hAnsi="Cambria" w:cstheme="minorHAnsi"/>
          <w:lang w:val="en-US"/>
        </w:rPr>
        <w:t>-based moralities are suggestive:</w:t>
      </w:r>
    </w:p>
    <w:p w14:paraId="3E97B858" w14:textId="77777777" w:rsidR="00FA3D78" w:rsidRPr="008F68D6" w:rsidRDefault="00FA3D78" w:rsidP="008F68D6">
      <w:pPr>
        <w:jc w:val="both"/>
        <w:rPr>
          <w:rFonts w:ascii="Cambria" w:hAnsi="Cambria" w:cstheme="minorHAnsi"/>
          <w:lang w:val="en-US"/>
        </w:rPr>
      </w:pPr>
    </w:p>
    <w:p w14:paraId="5D87D6B8" w14:textId="5C47C203" w:rsidR="00FA3D78" w:rsidRPr="008F68D6" w:rsidRDefault="00FA3D78" w:rsidP="008F68D6">
      <w:pPr>
        <w:ind w:left="720"/>
        <w:jc w:val="both"/>
        <w:rPr>
          <w:rFonts w:ascii="Cambria" w:hAnsi="Cambria" w:cstheme="minorHAnsi"/>
          <w:lang w:val="en-US"/>
        </w:rPr>
      </w:pPr>
      <w:r w:rsidRPr="008F68D6">
        <w:rPr>
          <w:rFonts w:ascii="Cambria" w:hAnsi="Cambria" w:cstheme="minorHAnsi"/>
          <w:lang w:val="en-US"/>
        </w:rPr>
        <w:t xml:space="preserve">This distinction between an autonomous life and a capacity for autonomy which is its precondition would not look quite the same to a supporter of a rights view of autonomy. He cannot claim that rights are justified because they protect autonomy. This would be to justify them instrumentally. He has to maintain that autonomy is constituted by rights and nothing else. The autonomous life is a life within unviolated rights. Unviolated rights create or protect opportunities. What one makes of them is left undetermined by the sheer existence of the rights. Therefore, in terms of my distinction between autonomy as a capacity and a successful use of it, the rights theorist would maintain that a capacity for autonomy guarantees that one’s life is autonomous, </w:t>
      </w:r>
      <w:proofErr w:type="gramStart"/>
      <w:r w:rsidRPr="008F68D6">
        <w:rPr>
          <w:rFonts w:ascii="Cambria" w:hAnsi="Cambria" w:cstheme="minorHAnsi"/>
          <w:lang w:val="en-US"/>
        </w:rPr>
        <w:t>e.g.</w:t>
      </w:r>
      <w:proofErr w:type="gramEnd"/>
      <w:r w:rsidRPr="008F68D6">
        <w:rPr>
          <w:rFonts w:ascii="Cambria" w:hAnsi="Cambria" w:cstheme="minorHAnsi"/>
          <w:lang w:val="en-US"/>
        </w:rPr>
        <w:t xml:space="preserve"> that no use or neglect of that capacity can make the life of those who have it more or less autonomous.</w:t>
      </w:r>
      <w:r w:rsidRPr="008F68D6">
        <w:rPr>
          <w:rStyle w:val="FootnoteReference"/>
          <w:rFonts w:ascii="Cambria" w:hAnsi="Cambria" w:cstheme="minorHAnsi"/>
          <w:lang w:val="en-US"/>
        </w:rPr>
        <w:footnoteReference w:id="27"/>
      </w:r>
    </w:p>
    <w:p w14:paraId="3F452703" w14:textId="77777777" w:rsidR="00FA3D78" w:rsidRPr="008F68D6" w:rsidRDefault="00FA3D78" w:rsidP="008F68D6">
      <w:pPr>
        <w:ind w:left="720"/>
        <w:jc w:val="both"/>
        <w:rPr>
          <w:rFonts w:ascii="Cambria" w:hAnsi="Cambria" w:cstheme="minorHAnsi"/>
          <w:lang w:val="en-US"/>
        </w:rPr>
      </w:pPr>
    </w:p>
    <w:p w14:paraId="5AF67395" w14:textId="13CD4BCC" w:rsidR="00FA3D78" w:rsidRPr="008F68D6" w:rsidRDefault="00FA3D78" w:rsidP="008F68D6">
      <w:pPr>
        <w:ind w:left="720"/>
        <w:jc w:val="both"/>
        <w:rPr>
          <w:rFonts w:ascii="Cambria" w:hAnsi="Cambria" w:cstheme="minorHAnsi"/>
          <w:lang w:val="en-US"/>
        </w:rPr>
      </w:pPr>
      <w:r w:rsidRPr="008F68D6">
        <w:rPr>
          <w:rFonts w:ascii="Cambria" w:hAnsi="Cambria" w:cstheme="minorHAnsi"/>
          <w:lang w:val="en-US"/>
        </w:rPr>
        <w:t>It is wrong to identify autonomy with a right against coercion, for example, and to hold that right (</w:t>
      </w:r>
      <w:proofErr w:type="gramStart"/>
      <w:r w:rsidRPr="008F68D6">
        <w:rPr>
          <w:rFonts w:ascii="Cambria" w:hAnsi="Cambria" w:cstheme="minorHAnsi"/>
          <w:lang w:val="en-US"/>
        </w:rPr>
        <w:t>i.e.</w:t>
      </w:r>
      <w:proofErr w:type="gramEnd"/>
      <w:r w:rsidRPr="008F68D6">
        <w:rPr>
          <w:rFonts w:ascii="Cambria" w:hAnsi="Cambria" w:cstheme="minorHAnsi"/>
          <w:lang w:val="en-US"/>
        </w:rPr>
        <w:t xml:space="preserve"> the right against coercion) as defeating, because of the importance of personal autonomy, all, or almost all, other considerations. Many rights contribute to making autonomy possible, but no</w:t>
      </w:r>
      <w:r w:rsidR="005533A5">
        <w:rPr>
          <w:rFonts w:ascii="Cambria" w:hAnsi="Cambria" w:cstheme="minorHAnsi"/>
          <w:lang w:val="en-US"/>
        </w:rPr>
        <w:t xml:space="preserve"> </w:t>
      </w:r>
      <w:r w:rsidRPr="008F68D6">
        <w:rPr>
          <w:rFonts w:ascii="Cambria" w:hAnsi="Cambria" w:cstheme="minorHAnsi"/>
          <w:lang w:val="en-US"/>
        </w:rPr>
        <w:t xml:space="preserve">short list of concrete rights is sufficient for this purpose. The provision of many collective goods is constitutive of the very possibility of autonomy and it cannot be relegated to </w:t>
      </w:r>
      <w:r w:rsidR="00BE0FA1" w:rsidRPr="008F68D6">
        <w:rPr>
          <w:rFonts w:ascii="Cambria" w:hAnsi="Cambria" w:cstheme="minorHAnsi"/>
          <w:lang w:val="en-US"/>
        </w:rPr>
        <w:t xml:space="preserve">a </w:t>
      </w:r>
      <w:r w:rsidRPr="008F68D6">
        <w:rPr>
          <w:rFonts w:ascii="Cambria" w:hAnsi="Cambria" w:cstheme="minorHAnsi"/>
          <w:lang w:val="en-US"/>
        </w:rPr>
        <w:t>subordinate role, compared with some alleged right against coer</w:t>
      </w:r>
      <w:r w:rsidR="00BE0FA1" w:rsidRPr="008F68D6">
        <w:rPr>
          <w:rFonts w:ascii="Cambria" w:hAnsi="Cambria" w:cstheme="minorHAnsi"/>
          <w:lang w:val="en-US"/>
        </w:rPr>
        <w:t>c</w:t>
      </w:r>
      <w:r w:rsidRPr="008F68D6">
        <w:rPr>
          <w:rFonts w:ascii="Cambria" w:hAnsi="Cambria" w:cstheme="minorHAnsi"/>
          <w:lang w:val="en-US"/>
        </w:rPr>
        <w:t>ion, in the name of autonomy.</w:t>
      </w:r>
      <w:r w:rsidR="00FC011F" w:rsidRPr="008F68D6">
        <w:rPr>
          <w:rStyle w:val="FootnoteReference"/>
          <w:rFonts w:ascii="Cambria" w:hAnsi="Cambria" w:cstheme="minorHAnsi"/>
          <w:lang w:val="en-US"/>
        </w:rPr>
        <w:footnoteReference w:id="28"/>
      </w:r>
      <w:r w:rsidRPr="008F68D6">
        <w:rPr>
          <w:rFonts w:ascii="Cambria" w:hAnsi="Cambria" w:cstheme="minorHAnsi"/>
          <w:lang w:val="en-US"/>
        </w:rPr>
        <w:t xml:space="preserve"> </w:t>
      </w:r>
    </w:p>
    <w:p w14:paraId="4D3B09F3" w14:textId="77777777" w:rsidR="00FA3D78" w:rsidRPr="008F68D6" w:rsidRDefault="00FA3D78" w:rsidP="008F68D6">
      <w:pPr>
        <w:jc w:val="both"/>
        <w:rPr>
          <w:rFonts w:ascii="Cambria" w:hAnsi="Cambria" w:cstheme="minorHAnsi"/>
          <w:lang w:val="en-US"/>
        </w:rPr>
      </w:pPr>
    </w:p>
    <w:p w14:paraId="206767C2" w14:textId="61BAB711" w:rsidR="00740DF0" w:rsidRPr="008F68D6" w:rsidRDefault="00EB308F" w:rsidP="005326A9">
      <w:pPr>
        <w:jc w:val="both"/>
        <w:rPr>
          <w:rFonts w:ascii="Cambria" w:hAnsi="Cambria" w:cstheme="minorHAnsi"/>
          <w:lang w:val="en-US"/>
        </w:rPr>
      </w:pPr>
      <w:r w:rsidRPr="008F68D6">
        <w:rPr>
          <w:rFonts w:ascii="Cambria" w:hAnsi="Cambria" w:cstheme="minorHAnsi"/>
          <w:lang w:val="en-US"/>
        </w:rPr>
        <w:t>It seems to me that these considerations show t</w:t>
      </w:r>
      <w:r w:rsidR="0088562B">
        <w:rPr>
          <w:rFonts w:ascii="Cambria" w:hAnsi="Cambria" w:cstheme="minorHAnsi"/>
          <w:lang w:val="en-US"/>
        </w:rPr>
        <w:t>hat</w:t>
      </w:r>
      <w:r w:rsidR="00D54603">
        <w:rPr>
          <w:rFonts w:ascii="Cambria" w:hAnsi="Cambria" w:cstheme="minorHAnsi"/>
          <w:lang w:val="en-US"/>
        </w:rPr>
        <w:t xml:space="preserve">, </w:t>
      </w:r>
      <w:r w:rsidR="00D54603" w:rsidRPr="00D54603">
        <w:rPr>
          <w:rFonts w:ascii="Cambria" w:hAnsi="Cambria" w:cstheme="minorHAnsi"/>
          <w:i/>
          <w:iCs/>
          <w:lang w:val="en-US"/>
        </w:rPr>
        <w:t>prima facie</w:t>
      </w:r>
      <w:r w:rsidR="00D54603">
        <w:rPr>
          <w:rFonts w:ascii="Cambria" w:hAnsi="Cambria" w:cstheme="minorHAnsi"/>
          <w:lang w:val="en-US"/>
        </w:rPr>
        <w:t xml:space="preserve"> at least, </w:t>
      </w:r>
      <w:r w:rsidR="00E76AC1">
        <w:rPr>
          <w:rFonts w:ascii="Cambria" w:hAnsi="Cambria" w:cstheme="minorHAnsi"/>
          <w:lang w:val="en-US"/>
        </w:rPr>
        <w:t xml:space="preserve">private law, as understood on the Kantian instrumentalist account, </w:t>
      </w:r>
      <w:r w:rsidR="009F09E6">
        <w:rPr>
          <w:rFonts w:ascii="Cambria" w:hAnsi="Cambria" w:cstheme="minorHAnsi"/>
          <w:lang w:val="en-US"/>
        </w:rPr>
        <w:t xml:space="preserve">serves to secure a crucial part, but only a part, of the conditions for autonomy, </w:t>
      </w:r>
      <w:r w:rsidR="003326E1">
        <w:rPr>
          <w:rFonts w:ascii="Cambria" w:hAnsi="Cambria" w:cstheme="minorHAnsi"/>
          <w:lang w:val="en-US"/>
        </w:rPr>
        <w:t xml:space="preserve">that is, </w:t>
      </w:r>
      <w:r w:rsidR="009F09E6">
        <w:rPr>
          <w:rFonts w:ascii="Cambria" w:hAnsi="Cambria" w:cstheme="minorHAnsi"/>
          <w:lang w:val="en-US"/>
        </w:rPr>
        <w:t xml:space="preserve">the independence condition. </w:t>
      </w:r>
    </w:p>
    <w:p w14:paraId="44A46EDC" w14:textId="733DCDC1" w:rsidR="00BE3F90" w:rsidRPr="008F68D6" w:rsidRDefault="00BE3F90" w:rsidP="008F68D6">
      <w:pPr>
        <w:jc w:val="both"/>
        <w:rPr>
          <w:rFonts w:ascii="Cambria" w:hAnsi="Cambria" w:cstheme="minorHAnsi"/>
          <w:lang w:val="en-US"/>
        </w:rPr>
      </w:pPr>
    </w:p>
    <w:p w14:paraId="273703EB" w14:textId="1E368E65" w:rsidR="00571910" w:rsidRDefault="0033409C" w:rsidP="008F68D6">
      <w:pPr>
        <w:jc w:val="both"/>
        <w:rPr>
          <w:rFonts w:ascii="Cambria" w:hAnsi="Cambria" w:cstheme="minorHAnsi"/>
          <w:lang w:val="en-US"/>
        </w:rPr>
      </w:pPr>
      <w:r>
        <w:rPr>
          <w:rFonts w:ascii="Cambria" w:hAnsi="Cambria" w:cstheme="minorHAnsi"/>
          <w:lang w:val="en-US"/>
        </w:rPr>
        <w:t>A final, important point.</w:t>
      </w:r>
      <w:r w:rsidR="00440F0D" w:rsidRPr="008F68D6">
        <w:rPr>
          <w:rFonts w:ascii="Cambria" w:hAnsi="Cambria" w:cstheme="minorHAnsi"/>
          <w:lang w:val="en-US"/>
        </w:rPr>
        <w:t xml:space="preserve"> In implementing the (narrow) morality of right, the law cannot do so by simply</w:t>
      </w:r>
      <w:r w:rsidR="00C044C4" w:rsidRPr="008F68D6">
        <w:rPr>
          <w:rFonts w:ascii="Cambria" w:hAnsi="Cambria" w:cstheme="minorHAnsi"/>
          <w:lang w:val="en-US"/>
        </w:rPr>
        <w:t xml:space="preserve"> </w:t>
      </w:r>
      <w:r w:rsidR="00440F0D" w:rsidRPr="008F68D6">
        <w:rPr>
          <w:rFonts w:ascii="Cambria" w:hAnsi="Cambria" w:cstheme="minorHAnsi"/>
          <w:lang w:val="en-US"/>
        </w:rPr>
        <w:t xml:space="preserve">reading off </w:t>
      </w:r>
      <w:r w:rsidR="009872B1">
        <w:rPr>
          <w:rFonts w:ascii="Cambria" w:hAnsi="Cambria" w:cstheme="minorHAnsi"/>
          <w:lang w:val="en-US"/>
        </w:rPr>
        <w:t>some set of</w:t>
      </w:r>
      <w:r w:rsidR="00440F0D" w:rsidRPr="008F68D6">
        <w:rPr>
          <w:rFonts w:ascii="Cambria" w:hAnsi="Cambria" w:cstheme="minorHAnsi"/>
          <w:lang w:val="en-US"/>
        </w:rPr>
        <w:t xml:space="preserve"> core principles</w:t>
      </w:r>
      <w:r w:rsidR="009872B1">
        <w:rPr>
          <w:rFonts w:ascii="Cambria" w:hAnsi="Cambria" w:cstheme="minorHAnsi"/>
          <w:lang w:val="en-US"/>
        </w:rPr>
        <w:t xml:space="preserve"> of right</w:t>
      </w:r>
      <w:r w:rsidR="00440F0D" w:rsidRPr="008F68D6">
        <w:rPr>
          <w:rFonts w:ascii="Cambria" w:hAnsi="Cambria" w:cstheme="minorHAnsi"/>
          <w:lang w:val="en-US"/>
        </w:rPr>
        <w:t xml:space="preserve">, such that the ethical is not brought into play. </w:t>
      </w:r>
      <w:r w:rsidR="00440F0D" w:rsidRPr="0000360B">
        <w:rPr>
          <w:rFonts w:ascii="Cambria" w:hAnsi="Cambria" w:cstheme="minorHAnsi"/>
          <w:lang w:val="en-US"/>
        </w:rPr>
        <w:t xml:space="preserve">By this I mean that it is straightforwardly not true that any modern private law is simply the </w:t>
      </w:r>
      <w:proofErr w:type="spellStart"/>
      <w:r w:rsidR="00440F0D" w:rsidRPr="0000360B">
        <w:rPr>
          <w:rFonts w:ascii="Cambria" w:hAnsi="Cambria" w:cstheme="minorHAnsi"/>
          <w:lang w:val="en-US"/>
        </w:rPr>
        <w:t>realisation</w:t>
      </w:r>
      <w:proofErr w:type="spellEnd"/>
      <w:r w:rsidR="00440F0D" w:rsidRPr="0000360B">
        <w:rPr>
          <w:rFonts w:ascii="Cambria" w:hAnsi="Cambria" w:cstheme="minorHAnsi"/>
          <w:lang w:val="en-US"/>
        </w:rPr>
        <w:t xml:space="preserve"> of a private ordering determined by basic moral principles, principles that can be spelt out more or less </w:t>
      </w:r>
      <w:proofErr w:type="spellStart"/>
      <w:r w:rsidR="00440F0D" w:rsidRPr="0000360B">
        <w:rPr>
          <w:rFonts w:ascii="Cambria" w:hAnsi="Cambria" w:cstheme="minorHAnsi"/>
          <w:lang w:val="en-US"/>
        </w:rPr>
        <w:t>uncontroversially</w:t>
      </w:r>
      <w:proofErr w:type="spellEnd"/>
      <w:r w:rsidR="00440F0D" w:rsidRPr="0000360B">
        <w:rPr>
          <w:rFonts w:ascii="Cambria" w:hAnsi="Cambria" w:cstheme="minorHAnsi"/>
          <w:lang w:val="en-US"/>
        </w:rPr>
        <w:t xml:space="preserve">, whether on a state of nature model of pre-political right or on the basis of any other heuristic. The law of trusts, the law governing insolvency, </w:t>
      </w:r>
      <w:r w:rsidR="00961DC3">
        <w:rPr>
          <w:rFonts w:ascii="Cambria" w:hAnsi="Cambria" w:cstheme="minorHAnsi"/>
          <w:lang w:val="en-US"/>
        </w:rPr>
        <w:t>the law of succession</w:t>
      </w:r>
      <w:r w:rsidR="00D81569">
        <w:rPr>
          <w:rFonts w:ascii="Cambria" w:hAnsi="Cambria" w:cstheme="minorHAnsi"/>
          <w:lang w:val="en-US"/>
        </w:rPr>
        <w:t xml:space="preserve"> </w:t>
      </w:r>
      <w:r w:rsidR="00440F0D" w:rsidRPr="0000360B">
        <w:rPr>
          <w:rFonts w:ascii="Cambria" w:hAnsi="Cambria" w:cstheme="minorHAnsi"/>
          <w:lang w:val="en-US"/>
        </w:rPr>
        <w:t xml:space="preserve">and much more that would fall within private law conceived of as the law of </w:t>
      </w:r>
      <w:r w:rsidR="00203E81">
        <w:rPr>
          <w:rFonts w:ascii="Cambria" w:hAnsi="Cambria" w:cstheme="minorHAnsi"/>
          <w:lang w:val="en-US"/>
        </w:rPr>
        <w:t xml:space="preserve">the </w:t>
      </w:r>
      <w:r w:rsidR="001D54D3" w:rsidRPr="0000360B">
        <w:rPr>
          <w:rFonts w:ascii="Cambria" w:hAnsi="Cambria" w:cstheme="minorHAnsi"/>
          <w:lang w:val="en-US"/>
        </w:rPr>
        <w:t>‘horizontal’ interperson</w:t>
      </w:r>
      <w:r w:rsidR="00F37007" w:rsidRPr="0000360B">
        <w:rPr>
          <w:rFonts w:ascii="Cambria" w:hAnsi="Cambria" w:cstheme="minorHAnsi"/>
          <w:lang w:val="en-US"/>
        </w:rPr>
        <w:t>al</w:t>
      </w:r>
      <w:r w:rsidR="00E967AF" w:rsidRPr="0000360B">
        <w:rPr>
          <w:rFonts w:ascii="Cambria" w:hAnsi="Cambria" w:cstheme="minorHAnsi"/>
          <w:lang w:val="en-US"/>
        </w:rPr>
        <w:t xml:space="preserve"> mor</w:t>
      </w:r>
      <w:r w:rsidR="001D54D3" w:rsidRPr="0000360B">
        <w:rPr>
          <w:rFonts w:ascii="Cambria" w:hAnsi="Cambria" w:cstheme="minorHAnsi"/>
          <w:lang w:val="en-US"/>
        </w:rPr>
        <w:t>ality</w:t>
      </w:r>
      <w:r w:rsidR="00203E81">
        <w:rPr>
          <w:rFonts w:ascii="Cambria" w:hAnsi="Cambria" w:cstheme="minorHAnsi"/>
          <w:lang w:val="en-US"/>
        </w:rPr>
        <w:t xml:space="preserve"> of right</w:t>
      </w:r>
      <w:r w:rsidR="00FC6294" w:rsidRPr="0000360B">
        <w:rPr>
          <w:rFonts w:ascii="Cambria" w:hAnsi="Cambria" w:cstheme="minorHAnsi"/>
          <w:lang w:val="en-US"/>
        </w:rPr>
        <w:t>, of ‘</w:t>
      </w:r>
      <w:r w:rsidR="00440F0D" w:rsidRPr="0000360B">
        <w:rPr>
          <w:rFonts w:ascii="Cambria" w:hAnsi="Cambria" w:cstheme="minorHAnsi"/>
          <w:lang w:val="en-US"/>
        </w:rPr>
        <w:t>private ordering</w:t>
      </w:r>
      <w:r w:rsidR="00FC6294" w:rsidRPr="0000360B">
        <w:rPr>
          <w:rFonts w:ascii="Cambria" w:hAnsi="Cambria" w:cstheme="minorHAnsi"/>
          <w:lang w:val="en-US"/>
        </w:rPr>
        <w:t>’ on the facilitative side</w:t>
      </w:r>
      <w:r w:rsidR="00440F0D" w:rsidRPr="0000360B">
        <w:rPr>
          <w:rFonts w:ascii="Cambria" w:hAnsi="Cambria" w:cstheme="minorHAnsi"/>
          <w:lang w:val="en-US"/>
        </w:rPr>
        <w:t>, cannot be treated as directly reflective of natural rights. This is particularly evident in, for example, the development of the law of the torts of nuisance</w:t>
      </w:r>
      <w:r w:rsidR="002837BF">
        <w:rPr>
          <w:rStyle w:val="FootnoteReference"/>
          <w:rFonts w:ascii="Cambria" w:hAnsi="Cambria" w:cstheme="minorHAnsi"/>
          <w:lang w:val="en-US"/>
        </w:rPr>
        <w:footnoteReference w:id="29"/>
      </w:r>
      <w:r w:rsidR="00440F0D" w:rsidRPr="0000360B">
        <w:rPr>
          <w:rFonts w:ascii="Cambria" w:hAnsi="Cambria" w:cstheme="minorHAnsi"/>
          <w:lang w:val="en-US"/>
        </w:rPr>
        <w:t xml:space="preserve"> and negligence,</w:t>
      </w:r>
      <w:r w:rsidR="00376AA7">
        <w:rPr>
          <w:rStyle w:val="FootnoteReference"/>
          <w:rFonts w:ascii="Cambria" w:hAnsi="Cambria" w:cstheme="minorHAnsi"/>
          <w:lang w:val="en-US"/>
        </w:rPr>
        <w:footnoteReference w:id="30"/>
      </w:r>
      <w:r w:rsidR="00440F0D" w:rsidRPr="0000360B">
        <w:rPr>
          <w:rFonts w:ascii="Cambria" w:hAnsi="Cambria" w:cstheme="minorHAnsi"/>
          <w:lang w:val="en-US"/>
        </w:rPr>
        <w:t xml:space="preserve"> the development of the elements in the numerus </w:t>
      </w:r>
      <w:proofErr w:type="spellStart"/>
      <w:r w:rsidR="00440F0D" w:rsidRPr="0000360B">
        <w:rPr>
          <w:rFonts w:ascii="Cambria" w:hAnsi="Cambria" w:cstheme="minorHAnsi"/>
          <w:lang w:val="en-US"/>
        </w:rPr>
        <w:t>clausas</w:t>
      </w:r>
      <w:proofErr w:type="spellEnd"/>
      <w:r w:rsidR="00203E81">
        <w:rPr>
          <w:rFonts w:ascii="Cambria" w:hAnsi="Cambria" w:cstheme="minorHAnsi"/>
          <w:lang w:val="en-US"/>
        </w:rPr>
        <w:t xml:space="preserve"> in land law</w:t>
      </w:r>
      <w:r w:rsidR="00440F0D" w:rsidRPr="0000360B">
        <w:rPr>
          <w:rFonts w:ascii="Cambria" w:hAnsi="Cambria" w:cstheme="minorHAnsi"/>
          <w:lang w:val="en-US"/>
        </w:rPr>
        <w:t>,</w:t>
      </w:r>
      <w:r w:rsidR="001800EA">
        <w:rPr>
          <w:rStyle w:val="FootnoteReference"/>
          <w:rFonts w:ascii="Cambria" w:hAnsi="Cambria" w:cstheme="minorHAnsi"/>
          <w:lang w:val="en-US"/>
        </w:rPr>
        <w:footnoteReference w:id="31"/>
      </w:r>
      <w:r w:rsidR="00440F0D" w:rsidRPr="0000360B">
        <w:rPr>
          <w:rFonts w:ascii="Cambria" w:hAnsi="Cambria" w:cstheme="minorHAnsi"/>
          <w:lang w:val="en-US"/>
        </w:rPr>
        <w:t xml:space="preserve"> and the rationale and scope of the law of damages.</w:t>
      </w:r>
      <w:r w:rsidR="00FC6294" w:rsidRPr="0000360B">
        <w:rPr>
          <w:rStyle w:val="FootnoteReference"/>
          <w:rFonts w:ascii="Cambria" w:hAnsi="Cambria" w:cstheme="minorHAnsi"/>
          <w:lang w:val="en-US"/>
        </w:rPr>
        <w:footnoteReference w:id="32"/>
      </w:r>
      <w:r w:rsidR="00440F0D" w:rsidRPr="0000360B">
        <w:rPr>
          <w:rFonts w:ascii="Cambria" w:hAnsi="Cambria" w:cstheme="minorHAnsi"/>
          <w:lang w:val="en-US"/>
        </w:rPr>
        <w:t xml:space="preserve"> </w:t>
      </w:r>
      <w:r w:rsidR="0075678B" w:rsidRPr="0000360B">
        <w:rPr>
          <w:rFonts w:ascii="Cambria" w:hAnsi="Cambria" w:cstheme="minorHAnsi"/>
          <w:lang w:val="en-US"/>
        </w:rPr>
        <w:t xml:space="preserve">It </w:t>
      </w:r>
      <w:r w:rsidR="0075678B" w:rsidRPr="0000360B">
        <w:rPr>
          <w:rFonts w:ascii="Cambria" w:hAnsi="Cambria" w:cstheme="minorHAnsi"/>
          <w:lang w:val="en-US"/>
        </w:rPr>
        <w:lastRenderedPageBreak/>
        <w:t>would be surprising to me</w:t>
      </w:r>
      <w:r w:rsidR="008C2D4C" w:rsidRPr="0000360B">
        <w:rPr>
          <w:rFonts w:ascii="Cambria" w:hAnsi="Cambria" w:cstheme="minorHAnsi"/>
          <w:lang w:val="en-US"/>
        </w:rPr>
        <w:t xml:space="preserve">, in our ‘era of personal autonomy’, if </w:t>
      </w:r>
      <w:r w:rsidR="00A35686" w:rsidRPr="0000360B">
        <w:rPr>
          <w:rFonts w:ascii="Cambria" w:hAnsi="Cambria" w:cstheme="minorHAnsi"/>
          <w:lang w:val="en-US"/>
        </w:rPr>
        <w:t xml:space="preserve">none </w:t>
      </w:r>
      <w:r w:rsidR="008C2D4C" w:rsidRPr="0000360B">
        <w:rPr>
          <w:rFonts w:ascii="Cambria" w:hAnsi="Cambria" w:cstheme="minorHAnsi"/>
          <w:lang w:val="en-US"/>
        </w:rPr>
        <w:t>of those ethical consider</w:t>
      </w:r>
      <w:r w:rsidR="00A35686" w:rsidRPr="0000360B">
        <w:rPr>
          <w:rFonts w:ascii="Cambria" w:hAnsi="Cambria" w:cstheme="minorHAnsi"/>
          <w:lang w:val="en-US"/>
        </w:rPr>
        <w:t>ations reflected our interest in personal autonomy.</w:t>
      </w:r>
      <w:r w:rsidR="00157D19" w:rsidRPr="0000360B">
        <w:rPr>
          <w:rStyle w:val="FootnoteReference"/>
          <w:rFonts w:ascii="Cambria" w:hAnsi="Cambria" w:cstheme="minorHAnsi"/>
          <w:lang w:val="en-US"/>
        </w:rPr>
        <w:footnoteReference w:id="33"/>
      </w:r>
      <w:r w:rsidR="000E22AA" w:rsidRPr="0000360B">
        <w:rPr>
          <w:rFonts w:ascii="Cambria" w:hAnsi="Cambria" w:cstheme="minorHAnsi"/>
          <w:lang w:val="en-US"/>
        </w:rPr>
        <w:t xml:space="preserve"> But none of this detracts from the main </w:t>
      </w:r>
      <w:r w:rsidR="00A148A8" w:rsidRPr="0000360B">
        <w:rPr>
          <w:rFonts w:ascii="Cambria" w:hAnsi="Cambria" w:cstheme="minorHAnsi"/>
          <w:lang w:val="en-US"/>
        </w:rPr>
        <w:t>claim</w:t>
      </w:r>
      <w:r w:rsidR="000E22AA" w:rsidRPr="0000360B">
        <w:rPr>
          <w:rFonts w:ascii="Cambria" w:hAnsi="Cambria" w:cstheme="minorHAnsi"/>
          <w:lang w:val="en-US"/>
        </w:rPr>
        <w:t xml:space="preserve"> of this section, that private law </w:t>
      </w:r>
      <w:r w:rsidR="003D3A92" w:rsidRPr="0000360B">
        <w:rPr>
          <w:rFonts w:ascii="Cambria" w:hAnsi="Cambria" w:cstheme="minorHAnsi"/>
          <w:lang w:val="en-US"/>
        </w:rPr>
        <w:t>i</w:t>
      </w:r>
      <w:r w:rsidR="00B51734" w:rsidRPr="0000360B">
        <w:rPr>
          <w:rFonts w:ascii="Cambria" w:hAnsi="Cambria" w:cstheme="minorHAnsi"/>
          <w:lang w:val="en-US"/>
        </w:rPr>
        <w:t>s a main provider of the independence condition for personal a</w:t>
      </w:r>
      <w:r w:rsidR="00A148A8" w:rsidRPr="0000360B">
        <w:rPr>
          <w:rFonts w:ascii="Cambria" w:hAnsi="Cambria" w:cstheme="minorHAnsi"/>
          <w:lang w:val="en-US"/>
        </w:rPr>
        <w:t>utonomy</w:t>
      </w:r>
      <w:r w:rsidR="00BB7E25" w:rsidRPr="0000360B">
        <w:rPr>
          <w:rFonts w:ascii="Cambria" w:hAnsi="Cambria" w:cstheme="minorHAnsi"/>
          <w:lang w:val="en-US"/>
        </w:rPr>
        <w:t>, which</w:t>
      </w:r>
      <w:r w:rsidR="00A148A8" w:rsidRPr="0000360B">
        <w:rPr>
          <w:rFonts w:ascii="Cambria" w:hAnsi="Cambria" w:cstheme="minorHAnsi"/>
          <w:lang w:val="en-US"/>
        </w:rPr>
        <w:t xml:space="preserve"> seems entirely correct. </w:t>
      </w:r>
      <w:r w:rsidR="00134347" w:rsidRPr="0000360B">
        <w:rPr>
          <w:rFonts w:ascii="Cambria" w:hAnsi="Cambria" w:cstheme="minorHAnsi"/>
          <w:lang w:val="en-US"/>
        </w:rPr>
        <w:t xml:space="preserve"> </w:t>
      </w:r>
    </w:p>
    <w:p w14:paraId="60293B26" w14:textId="77777777" w:rsidR="00E55D73" w:rsidRPr="008F68D6" w:rsidRDefault="00E55D73" w:rsidP="008F68D6">
      <w:pPr>
        <w:jc w:val="both"/>
        <w:rPr>
          <w:rFonts w:ascii="Cambria" w:hAnsi="Cambria" w:cstheme="minorHAnsi"/>
          <w:lang w:val="en-US"/>
        </w:rPr>
      </w:pPr>
    </w:p>
    <w:p w14:paraId="0C58BA94" w14:textId="77777777" w:rsidR="00D34C7F" w:rsidRPr="008F68D6" w:rsidRDefault="00D34C7F" w:rsidP="008F68D6">
      <w:pPr>
        <w:jc w:val="both"/>
        <w:rPr>
          <w:rFonts w:ascii="Cambria" w:hAnsi="Cambria" w:cstheme="minorHAnsi"/>
          <w:lang w:val="en-US"/>
        </w:rPr>
      </w:pPr>
    </w:p>
    <w:p w14:paraId="63A02CCF" w14:textId="669BE158" w:rsidR="00940866" w:rsidRPr="008F68D6" w:rsidRDefault="00940866" w:rsidP="008F68D6">
      <w:pPr>
        <w:pStyle w:val="ListParagraph"/>
        <w:numPr>
          <w:ilvl w:val="0"/>
          <w:numId w:val="2"/>
        </w:numPr>
        <w:jc w:val="both"/>
        <w:rPr>
          <w:rFonts w:ascii="Cambria" w:hAnsi="Cambria" w:cstheme="minorHAnsi"/>
          <w:lang w:val="en-US"/>
        </w:rPr>
      </w:pPr>
      <w:r w:rsidRPr="008F68D6">
        <w:rPr>
          <w:rFonts w:ascii="Cambria" w:hAnsi="Cambria" w:cstheme="minorHAnsi"/>
          <w:lang w:val="en-US"/>
        </w:rPr>
        <w:t xml:space="preserve">Relating Autonomy to Private Law – </w:t>
      </w:r>
      <w:r w:rsidR="00B66D11" w:rsidRPr="008F68D6">
        <w:rPr>
          <w:rFonts w:ascii="Cambria" w:hAnsi="Cambria" w:cstheme="minorHAnsi"/>
          <w:lang w:val="en-US"/>
        </w:rPr>
        <w:t>Broad</w:t>
      </w:r>
      <w:r w:rsidR="00784F91" w:rsidRPr="008F68D6">
        <w:rPr>
          <w:rFonts w:ascii="Cambria" w:hAnsi="Cambria" w:cstheme="minorHAnsi"/>
          <w:lang w:val="en-US"/>
        </w:rPr>
        <w:t>er</w:t>
      </w:r>
      <w:r w:rsidRPr="008F68D6">
        <w:rPr>
          <w:rFonts w:ascii="Cambria" w:hAnsi="Cambria" w:cstheme="minorHAnsi"/>
          <w:lang w:val="en-US"/>
        </w:rPr>
        <w:t xml:space="preserve"> Account</w:t>
      </w:r>
      <w:r w:rsidR="00BB5F6F" w:rsidRPr="008F68D6">
        <w:rPr>
          <w:rFonts w:ascii="Cambria" w:hAnsi="Cambria" w:cstheme="minorHAnsi"/>
          <w:lang w:val="en-US"/>
        </w:rPr>
        <w:t>s</w:t>
      </w:r>
    </w:p>
    <w:p w14:paraId="10B13CF8" w14:textId="4E898C1B" w:rsidR="00B66D11" w:rsidRPr="008F68D6" w:rsidRDefault="00B66D11" w:rsidP="008F68D6">
      <w:pPr>
        <w:jc w:val="both"/>
        <w:rPr>
          <w:rFonts w:ascii="Cambria" w:hAnsi="Cambria" w:cstheme="minorHAnsi"/>
          <w:lang w:val="en-US"/>
        </w:rPr>
      </w:pPr>
    </w:p>
    <w:p w14:paraId="0DD0B5F6" w14:textId="22034669" w:rsidR="00B66D11" w:rsidRPr="008F68D6" w:rsidRDefault="00B66D11" w:rsidP="008F68D6">
      <w:pPr>
        <w:jc w:val="both"/>
        <w:rPr>
          <w:rFonts w:ascii="Cambria" w:hAnsi="Cambria" w:cstheme="minorHAnsi"/>
          <w:lang w:val="en-US"/>
        </w:rPr>
      </w:pPr>
      <w:r w:rsidRPr="008F68D6">
        <w:rPr>
          <w:rFonts w:ascii="Cambria" w:hAnsi="Cambria" w:cstheme="minorHAnsi"/>
          <w:lang w:val="en-US"/>
        </w:rPr>
        <w:t xml:space="preserve">By a broader account of the relation of autonomy to private law, I mean those accounts which hold that private law contributes </w:t>
      </w:r>
      <w:r w:rsidR="007664E9" w:rsidRPr="008F68D6">
        <w:rPr>
          <w:rFonts w:ascii="Cambria" w:hAnsi="Cambria" w:cstheme="minorHAnsi"/>
          <w:lang w:val="en-US"/>
        </w:rPr>
        <w:t xml:space="preserve">to </w:t>
      </w:r>
      <w:r w:rsidRPr="008F68D6">
        <w:rPr>
          <w:rFonts w:ascii="Cambria" w:hAnsi="Cambria" w:cstheme="minorHAnsi"/>
          <w:lang w:val="en-US"/>
        </w:rPr>
        <w:t xml:space="preserve">the realization of the other two conditions for </w:t>
      </w:r>
      <w:r w:rsidR="006210E9" w:rsidRPr="008F68D6">
        <w:rPr>
          <w:rFonts w:ascii="Cambria" w:hAnsi="Cambria" w:cstheme="minorHAnsi"/>
          <w:lang w:val="en-US"/>
        </w:rPr>
        <w:t>personal autonomy, the personal capacity for autonomy and the provision of an adequate range of options</w:t>
      </w:r>
      <w:r w:rsidR="00DD175F" w:rsidRPr="008F68D6">
        <w:rPr>
          <w:rFonts w:ascii="Cambria" w:hAnsi="Cambria" w:cstheme="minorHAnsi"/>
          <w:lang w:val="en-US"/>
        </w:rPr>
        <w:t>.</w:t>
      </w:r>
      <w:r w:rsidR="001E5F2B" w:rsidRPr="008F68D6">
        <w:rPr>
          <w:rFonts w:ascii="Cambria" w:hAnsi="Cambria" w:cstheme="minorHAnsi"/>
          <w:lang w:val="en-US"/>
        </w:rPr>
        <w:t xml:space="preserve"> </w:t>
      </w:r>
      <w:r w:rsidR="0089024E">
        <w:rPr>
          <w:rFonts w:ascii="Cambria" w:hAnsi="Cambria" w:cstheme="minorHAnsi"/>
          <w:lang w:val="en-US"/>
        </w:rPr>
        <w:t xml:space="preserve">Here </w:t>
      </w:r>
      <w:r w:rsidR="001E5F2B" w:rsidRPr="008F68D6">
        <w:rPr>
          <w:rFonts w:ascii="Cambria" w:hAnsi="Cambria" w:cstheme="minorHAnsi"/>
          <w:lang w:val="en-US"/>
        </w:rPr>
        <w:t xml:space="preserve">I must admit to a frank </w:t>
      </w:r>
      <w:proofErr w:type="spellStart"/>
      <w:r w:rsidR="001E5F2B" w:rsidRPr="008F68D6">
        <w:rPr>
          <w:rFonts w:ascii="Cambria" w:hAnsi="Cambria" w:cstheme="minorHAnsi"/>
          <w:lang w:val="en-US"/>
        </w:rPr>
        <w:t>sceptici</w:t>
      </w:r>
      <w:r w:rsidR="0089024E">
        <w:rPr>
          <w:rFonts w:ascii="Cambria" w:hAnsi="Cambria" w:cstheme="minorHAnsi"/>
          <w:lang w:val="en-US"/>
        </w:rPr>
        <w:t>s</w:t>
      </w:r>
      <w:r w:rsidR="001E5F2B" w:rsidRPr="008F68D6">
        <w:rPr>
          <w:rFonts w:ascii="Cambria" w:hAnsi="Cambria" w:cstheme="minorHAnsi"/>
          <w:lang w:val="en-US"/>
        </w:rPr>
        <w:t>m</w:t>
      </w:r>
      <w:proofErr w:type="spellEnd"/>
      <w:r w:rsidR="001E5F2B" w:rsidRPr="008F68D6">
        <w:rPr>
          <w:rFonts w:ascii="Cambria" w:hAnsi="Cambria" w:cstheme="minorHAnsi"/>
          <w:lang w:val="en-US"/>
        </w:rPr>
        <w:t>. Let me begin with a narrower point about the law, and then a broader point about the state.</w:t>
      </w:r>
    </w:p>
    <w:p w14:paraId="11F01FC6" w14:textId="43FFBAFB" w:rsidR="00B82E25" w:rsidRPr="008F68D6" w:rsidRDefault="00B82E25" w:rsidP="008F68D6">
      <w:pPr>
        <w:jc w:val="both"/>
        <w:rPr>
          <w:rFonts w:ascii="Cambria" w:hAnsi="Cambria" w:cstheme="minorHAnsi"/>
          <w:lang w:val="en-US"/>
        </w:rPr>
      </w:pPr>
    </w:p>
    <w:p w14:paraId="79093B52" w14:textId="2AE55323" w:rsidR="00BB46C8" w:rsidRDefault="00B82E25" w:rsidP="008F68D6">
      <w:pPr>
        <w:jc w:val="both"/>
        <w:rPr>
          <w:rFonts w:ascii="Cambria" w:hAnsi="Cambria" w:cstheme="minorHAnsi"/>
          <w:lang w:val="en-US"/>
        </w:rPr>
      </w:pPr>
      <w:r w:rsidRPr="008F68D6">
        <w:rPr>
          <w:rFonts w:ascii="Cambria" w:hAnsi="Cambria" w:cstheme="minorHAnsi"/>
          <w:lang w:val="en-US"/>
        </w:rPr>
        <w:t>It seems to me that lawyers and legal theorist</w:t>
      </w:r>
      <w:r w:rsidR="00BB7E25">
        <w:rPr>
          <w:rFonts w:ascii="Cambria" w:hAnsi="Cambria" w:cstheme="minorHAnsi"/>
          <w:lang w:val="en-US"/>
        </w:rPr>
        <w:t>s</w:t>
      </w:r>
      <w:r w:rsidRPr="008F68D6">
        <w:rPr>
          <w:rFonts w:ascii="Cambria" w:hAnsi="Cambria" w:cstheme="minorHAnsi"/>
          <w:lang w:val="en-US"/>
        </w:rPr>
        <w:t xml:space="preserve"> tend to overestimate the significance of law in these matters, in particular that the law has certain creative potentials all on its own. </w:t>
      </w:r>
      <w:r w:rsidR="00BB46C8" w:rsidRPr="008F68D6">
        <w:rPr>
          <w:rFonts w:ascii="Cambria" w:hAnsi="Cambria" w:cstheme="minorHAnsi"/>
          <w:lang w:val="en-US"/>
        </w:rPr>
        <w:t>Consider the following passage from Leslie Green</w:t>
      </w:r>
      <w:r w:rsidR="00F1219A">
        <w:rPr>
          <w:rFonts w:ascii="Cambria" w:hAnsi="Cambria" w:cstheme="minorHAnsi"/>
          <w:lang w:val="en-US"/>
        </w:rPr>
        <w:t>:</w:t>
      </w:r>
    </w:p>
    <w:p w14:paraId="782114E0" w14:textId="282ACD30" w:rsidR="0095059A" w:rsidRDefault="0095059A" w:rsidP="008F68D6">
      <w:pPr>
        <w:jc w:val="both"/>
        <w:rPr>
          <w:rFonts w:ascii="Cambria" w:hAnsi="Cambria" w:cstheme="minorHAnsi"/>
          <w:lang w:val="en-US"/>
        </w:rPr>
      </w:pPr>
    </w:p>
    <w:p w14:paraId="0D0E6F00" w14:textId="44E0DD64" w:rsidR="0095059A" w:rsidRPr="008F68D6" w:rsidRDefault="0095059A" w:rsidP="00B17DA2">
      <w:pPr>
        <w:ind w:left="720"/>
        <w:jc w:val="both"/>
        <w:rPr>
          <w:rFonts w:ascii="Cambria" w:hAnsi="Cambria" w:cstheme="minorHAnsi"/>
          <w:lang w:val="en-US"/>
        </w:rPr>
      </w:pPr>
      <w:r w:rsidRPr="0095059A">
        <w:rPr>
          <w:rFonts w:ascii="Cambria" w:hAnsi="Cambria" w:cstheme="minorHAnsi"/>
          <w:lang w:val="en-US"/>
        </w:rPr>
        <w:t>In jurisprudence, we are used to distinguishing primary legal norms [Plan A norms]</w:t>
      </w:r>
      <w:r w:rsidR="00B17DA2">
        <w:rPr>
          <w:rFonts w:ascii="Cambria" w:hAnsi="Cambria" w:cstheme="minorHAnsi"/>
          <w:lang w:val="en-US"/>
        </w:rPr>
        <w:t xml:space="preserve"> </w:t>
      </w:r>
      <w:r w:rsidRPr="0095059A">
        <w:rPr>
          <w:rFonts w:ascii="Cambria" w:hAnsi="Cambria" w:cstheme="minorHAnsi"/>
          <w:lang w:val="en-US"/>
        </w:rPr>
        <w:t>that aim to guide conduct from secondary, plan-B, norms that guide responses to</w:t>
      </w:r>
      <w:r w:rsidR="00B17DA2">
        <w:rPr>
          <w:rFonts w:ascii="Cambria" w:hAnsi="Cambria" w:cstheme="minorHAnsi"/>
          <w:lang w:val="en-US"/>
        </w:rPr>
        <w:t xml:space="preserve"> </w:t>
      </w:r>
      <w:r w:rsidRPr="0095059A">
        <w:rPr>
          <w:rFonts w:ascii="Cambria" w:hAnsi="Cambria" w:cstheme="minorHAnsi"/>
          <w:lang w:val="en-US"/>
        </w:rPr>
        <w:t>conduct that fails to satisfy the primary norm. In areas like sexual interaction, however,</w:t>
      </w:r>
      <w:r w:rsidR="00B17DA2">
        <w:rPr>
          <w:rFonts w:ascii="Cambria" w:hAnsi="Cambria" w:cstheme="minorHAnsi"/>
          <w:lang w:val="en-US"/>
        </w:rPr>
        <w:t xml:space="preserve"> </w:t>
      </w:r>
      <w:r w:rsidRPr="0095059A">
        <w:rPr>
          <w:rFonts w:ascii="Cambria" w:hAnsi="Cambria" w:cstheme="minorHAnsi"/>
          <w:lang w:val="en-US"/>
        </w:rPr>
        <w:t>it is not only the secondary enforcement but also the primary obligations imposed by</w:t>
      </w:r>
      <w:r w:rsidR="00B17DA2">
        <w:rPr>
          <w:rFonts w:ascii="Cambria" w:hAnsi="Cambria" w:cstheme="minorHAnsi"/>
          <w:lang w:val="en-US"/>
        </w:rPr>
        <w:t xml:space="preserve"> </w:t>
      </w:r>
      <w:r w:rsidRPr="0095059A">
        <w:rPr>
          <w:rFonts w:ascii="Cambria" w:hAnsi="Cambria" w:cstheme="minorHAnsi"/>
          <w:lang w:val="en-US"/>
        </w:rPr>
        <w:t>law that should be seen as Plan B – as fallbacks, morally speaking. Things are not going</w:t>
      </w:r>
      <w:r w:rsidR="00B17DA2">
        <w:rPr>
          <w:rFonts w:ascii="Cambria" w:hAnsi="Cambria" w:cstheme="minorHAnsi"/>
          <w:lang w:val="en-US"/>
        </w:rPr>
        <w:t xml:space="preserve"> </w:t>
      </w:r>
      <w:r w:rsidRPr="0095059A">
        <w:rPr>
          <w:rFonts w:ascii="Cambria" w:hAnsi="Cambria" w:cstheme="minorHAnsi"/>
          <w:lang w:val="en-US"/>
        </w:rPr>
        <w:t>well, sexually or legally, when men need guidance from the duty not to commit rape.</w:t>
      </w:r>
      <w:r w:rsidR="00B17DA2">
        <w:rPr>
          <w:rFonts w:ascii="Cambria" w:hAnsi="Cambria" w:cstheme="minorHAnsi"/>
          <w:lang w:val="en-US"/>
        </w:rPr>
        <w:t xml:space="preserve"> </w:t>
      </w:r>
      <w:r w:rsidRPr="0095059A">
        <w:rPr>
          <w:rFonts w:ascii="Cambria" w:hAnsi="Cambria" w:cstheme="minorHAnsi"/>
          <w:lang w:val="en-US"/>
        </w:rPr>
        <w:t xml:space="preserve">The point is quite general. We also want people to avoid assault, to refrain from discrimination, and to deal fairly, not because of a lively awareness of the normative force of law, but because it would hardly occur to them to do otherwise. </w:t>
      </w:r>
      <w:r w:rsidRPr="00836BFC">
        <w:rPr>
          <w:rFonts w:ascii="Cambria" w:hAnsi="Cambria" w:cstheme="minorHAnsi"/>
          <w:i/>
          <w:iCs/>
          <w:lang w:val="en-US"/>
        </w:rPr>
        <w:t>Law</w:t>
      </w:r>
      <w:r w:rsidRPr="0095059A">
        <w:rPr>
          <w:rFonts w:ascii="Cambria" w:hAnsi="Cambria" w:cstheme="minorHAnsi"/>
          <w:lang w:val="en-US"/>
        </w:rPr>
        <w:t xml:space="preserve"> has a role to play in</w:t>
      </w:r>
      <w:r w:rsidR="00B17DA2">
        <w:rPr>
          <w:rFonts w:ascii="Cambria" w:hAnsi="Cambria" w:cstheme="minorHAnsi"/>
          <w:lang w:val="en-US"/>
        </w:rPr>
        <w:t xml:space="preserve"> </w:t>
      </w:r>
      <w:r w:rsidRPr="0095059A">
        <w:rPr>
          <w:rFonts w:ascii="Cambria" w:hAnsi="Cambria" w:cstheme="minorHAnsi"/>
          <w:lang w:val="en-US"/>
        </w:rPr>
        <w:t>securing that smooth-running state of affairs, but not only by securing a duty of obedience.</w:t>
      </w:r>
      <w:r w:rsidR="00B17DA2">
        <w:rPr>
          <w:rFonts w:ascii="Cambria" w:hAnsi="Cambria" w:cstheme="minorHAnsi"/>
          <w:lang w:val="en-US"/>
        </w:rPr>
        <w:t xml:space="preserve"> </w:t>
      </w:r>
      <w:r w:rsidRPr="0095059A">
        <w:rPr>
          <w:rFonts w:ascii="Cambria" w:hAnsi="Cambria" w:cstheme="minorHAnsi"/>
          <w:lang w:val="en-US"/>
        </w:rPr>
        <w:t xml:space="preserve">In some cases, </w:t>
      </w:r>
      <w:r w:rsidRPr="007819A1">
        <w:rPr>
          <w:rFonts w:ascii="Cambria" w:hAnsi="Cambria" w:cstheme="minorHAnsi"/>
          <w:i/>
          <w:iCs/>
          <w:lang w:val="en-US"/>
        </w:rPr>
        <w:t>law</w:t>
      </w:r>
      <w:r w:rsidRPr="0095059A">
        <w:rPr>
          <w:rFonts w:ascii="Cambria" w:hAnsi="Cambria" w:cstheme="minorHAnsi"/>
          <w:lang w:val="en-US"/>
        </w:rPr>
        <w:t xml:space="preserve"> is at its best when it helps shape our social world in a way that is relatively invisible.</w:t>
      </w:r>
      <w:r w:rsidR="007819A1">
        <w:rPr>
          <w:rStyle w:val="FootnoteReference"/>
          <w:rFonts w:ascii="Cambria" w:hAnsi="Cambria" w:cstheme="minorHAnsi"/>
          <w:lang w:val="en-US"/>
        </w:rPr>
        <w:footnoteReference w:id="34"/>
      </w:r>
    </w:p>
    <w:p w14:paraId="12853455" w14:textId="5309EF13" w:rsidR="00BB46C8" w:rsidRDefault="00BB46C8" w:rsidP="008F68D6">
      <w:pPr>
        <w:jc w:val="both"/>
        <w:rPr>
          <w:rFonts w:ascii="Cambria" w:hAnsi="Cambria" w:cstheme="minorHAnsi"/>
          <w:lang w:val="en-US"/>
        </w:rPr>
      </w:pPr>
    </w:p>
    <w:p w14:paraId="3F2592B4" w14:textId="3F2BB27F" w:rsidR="00443F3D" w:rsidRDefault="00617308" w:rsidP="00443F3D">
      <w:pPr>
        <w:jc w:val="both"/>
        <w:rPr>
          <w:rFonts w:ascii="Cambria" w:hAnsi="Cambria" w:cstheme="minorHAnsi"/>
          <w:lang w:val="en-US"/>
        </w:rPr>
      </w:pPr>
      <w:r>
        <w:rPr>
          <w:rFonts w:ascii="Cambria" w:hAnsi="Cambria" w:cstheme="minorHAnsi"/>
          <w:lang w:val="en-US"/>
        </w:rPr>
        <w:t xml:space="preserve">I agree whole-heartedly with the thrust of this passage, with one </w:t>
      </w:r>
      <w:r w:rsidR="00C07AFE">
        <w:rPr>
          <w:rFonts w:ascii="Cambria" w:hAnsi="Cambria" w:cstheme="minorHAnsi"/>
          <w:lang w:val="en-US"/>
        </w:rPr>
        <w:t xml:space="preserve">reservation regarding </w:t>
      </w:r>
      <w:r w:rsidR="00443F3D" w:rsidRPr="00443F3D">
        <w:rPr>
          <w:rFonts w:ascii="Cambria" w:hAnsi="Cambria" w:cstheme="minorHAnsi"/>
          <w:lang w:val="en-US"/>
        </w:rPr>
        <w:t xml:space="preserve">Green’s use of ‘law’ in the last two sentences. It seems to me that </w:t>
      </w:r>
      <w:r w:rsidR="00443F3D" w:rsidRPr="00533218">
        <w:rPr>
          <w:rFonts w:ascii="Cambria" w:hAnsi="Cambria" w:cstheme="minorHAnsi"/>
          <w:i/>
          <w:iCs/>
          <w:lang w:val="en-US"/>
        </w:rPr>
        <w:t>the state</w:t>
      </w:r>
      <w:r w:rsidR="00443F3D" w:rsidRPr="00443F3D">
        <w:rPr>
          <w:rFonts w:ascii="Cambria" w:hAnsi="Cambria" w:cstheme="minorHAnsi"/>
          <w:lang w:val="en-US"/>
        </w:rPr>
        <w:t xml:space="preserve"> has a role in securing that state of affairs wherein people don’t commit crimes in the first place, by helping to secure a society wherein </w:t>
      </w:r>
      <w:proofErr w:type="spellStart"/>
      <w:r w:rsidR="00443F3D" w:rsidRPr="00443F3D">
        <w:rPr>
          <w:rFonts w:ascii="Cambria" w:hAnsi="Cambria" w:cstheme="minorHAnsi"/>
          <w:lang w:val="en-US"/>
        </w:rPr>
        <w:t>socialisation</w:t>
      </w:r>
      <w:proofErr w:type="spellEnd"/>
      <w:r w:rsidR="00443F3D" w:rsidRPr="00443F3D">
        <w:rPr>
          <w:rFonts w:ascii="Cambria" w:hAnsi="Cambria" w:cstheme="minorHAnsi"/>
          <w:lang w:val="en-US"/>
        </w:rPr>
        <w:t>, culture, and education help to improve and certainly do not thwart our moral understanding, and social conditions are such that people are not systematically tempted to commit crimes. The law as such, understood in terms of statutes, cases, and the legal process may have relatively little to do in this regard. Not nothing, of course –</w:t>
      </w:r>
      <w:r w:rsidR="00533218">
        <w:rPr>
          <w:rFonts w:ascii="Cambria" w:hAnsi="Cambria" w:cstheme="minorHAnsi"/>
          <w:lang w:val="en-US"/>
        </w:rPr>
        <w:t xml:space="preserve"> the government can </w:t>
      </w:r>
      <w:r w:rsidR="00443F3D" w:rsidRPr="00443F3D">
        <w:rPr>
          <w:rFonts w:ascii="Cambria" w:hAnsi="Cambria" w:cstheme="minorHAnsi"/>
          <w:lang w:val="en-US"/>
        </w:rPr>
        <w:t>legislate for the provision of social welfare, schools and so on, but these presume a prior</w:t>
      </w:r>
      <w:r w:rsidR="007D6E23">
        <w:rPr>
          <w:rFonts w:ascii="Cambria" w:hAnsi="Cambria" w:cstheme="minorHAnsi"/>
          <w:lang w:val="en-US"/>
        </w:rPr>
        <w:t xml:space="preserve"> </w:t>
      </w:r>
      <w:r w:rsidR="00443F3D" w:rsidRPr="00443F3D">
        <w:rPr>
          <w:rFonts w:ascii="Cambria" w:hAnsi="Cambria" w:cstheme="minorHAnsi"/>
          <w:lang w:val="en-US"/>
        </w:rPr>
        <w:t>commitment by the state to devote its, or require others to devote their, resources to that provision.</w:t>
      </w:r>
    </w:p>
    <w:p w14:paraId="63223904" w14:textId="32F23BA0" w:rsidR="006A1B52" w:rsidRDefault="006A1B52" w:rsidP="00443F3D">
      <w:pPr>
        <w:jc w:val="both"/>
        <w:rPr>
          <w:rFonts w:ascii="Cambria" w:hAnsi="Cambria" w:cstheme="minorHAnsi"/>
          <w:lang w:val="en-US"/>
        </w:rPr>
      </w:pPr>
    </w:p>
    <w:p w14:paraId="47A1468D" w14:textId="7CBE61C3" w:rsidR="006A1B52" w:rsidRDefault="009028A0" w:rsidP="006A1B52">
      <w:pPr>
        <w:jc w:val="both"/>
        <w:rPr>
          <w:rFonts w:ascii="Cambria" w:hAnsi="Cambria" w:cstheme="minorHAnsi"/>
          <w:lang w:val="en-US"/>
        </w:rPr>
      </w:pPr>
      <w:r>
        <w:rPr>
          <w:rFonts w:ascii="Cambria" w:hAnsi="Cambria" w:cstheme="minorHAnsi"/>
          <w:lang w:val="en-US"/>
        </w:rPr>
        <w:t>Much nearer</w:t>
      </w:r>
      <w:r w:rsidR="006A1B52" w:rsidRPr="008F68D6">
        <w:rPr>
          <w:rFonts w:ascii="Cambria" w:hAnsi="Cambria" w:cstheme="minorHAnsi"/>
          <w:lang w:val="en-US"/>
        </w:rPr>
        <w:t xml:space="preserve"> to the trut</w:t>
      </w:r>
      <w:r w:rsidR="006A1B52">
        <w:rPr>
          <w:rFonts w:ascii="Cambria" w:hAnsi="Cambria" w:cstheme="minorHAnsi"/>
          <w:lang w:val="en-US"/>
        </w:rPr>
        <w:t>h</w:t>
      </w:r>
      <w:r w:rsidR="006A1B52" w:rsidRPr="008F68D6">
        <w:rPr>
          <w:rFonts w:ascii="Cambria" w:hAnsi="Cambria" w:cstheme="minorHAnsi"/>
          <w:lang w:val="en-US"/>
        </w:rPr>
        <w:t xml:space="preserve"> is that the law claims the power to </w:t>
      </w:r>
      <w:r w:rsidR="006A1B52" w:rsidRPr="008F68D6">
        <w:rPr>
          <w:rFonts w:ascii="Cambria" w:hAnsi="Cambria" w:cstheme="minorHAnsi"/>
          <w:i/>
          <w:iCs/>
          <w:lang w:val="en-US"/>
        </w:rPr>
        <w:t>regulate</w:t>
      </w:r>
      <w:r w:rsidR="006A1B52" w:rsidRPr="008F68D6">
        <w:rPr>
          <w:rFonts w:ascii="Cambria" w:hAnsi="Cambria" w:cstheme="minorHAnsi"/>
          <w:lang w:val="en-US"/>
        </w:rPr>
        <w:t xml:space="preserve"> whatever society, all on its own</w:t>
      </w:r>
      <w:r w:rsidR="00ED23D9">
        <w:rPr>
          <w:rFonts w:ascii="Cambria" w:hAnsi="Cambria" w:cstheme="minorHAnsi"/>
          <w:lang w:val="en-US"/>
        </w:rPr>
        <w:t>,</w:t>
      </w:r>
      <w:r w:rsidR="006A1B52" w:rsidRPr="008F68D6">
        <w:rPr>
          <w:rFonts w:ascii="Cambria" w:hAnsi="Cambria" w:cstheme="minorHAnsi"/>
          <w:lang w:val="en-US"/>
        </w:rPr>
        <w:t xml:space="preserve"> has created. An interesting question here is the relation of lawyers to ‘the </w:t>
      </w:r>
      <w:r w:rsidR="006A1B52" w:rsidRPr="008F68D6">
        <w:rPr>
          <w:rFonts w:ascii="Cambria" w:hAnsi="Cambria" w:cstheme="minorHAnsi"/>
          <w:lang w:val="en-US"/>
        </w:rPr>
        <w:lastRenderedPageBreak/>
        <w:t xml:space="preserve">law’ in all this. </w:t>
      </w:r>
      <w:r w:rsidR="00A76578">
        <w:rPr>
          <w:rFonts w:ascii="Cambria" w:hAnsi="Cambria" w:cstheme="minorHAnsi"/>
          <w:lang w:val="en-US"/>
        </w:rPr>
        <w:t xml:space="preserve">One of the themes of John Baker’s </w:t>
      </w:r>
      <w:proofErr w:type="gramStart"/>
      <w:r w:rsidR="007F2351">
        <w:rPr>
          <w:rFonts w:ascii="Cambria" w:hAnsi="Cambria" w:cstheme="minorHAnsi"/>
          <w:i/>
          <w:iCs/>
          <w:lang w:val="en-US"/>
        </w:rPr>
        <w:t>The</w:t>
      </w:r>
      <w:proofErr w:type="gramEnd"/>
      <w:r w:rsidR="007F2351">
        <w:rPr>
          <w:rFonts w:ascii="Cambria" w:hAnsi="Cambria" w:cstheme="minorHAnsi"/>
          <w:i/>
          <w:iCs/>
          <w:lang w:val="en-US"/>
        </w:rPr>
        <w:t xml:space="preserve"> Law’s Two Bodies</w:t>
      </w:r>
      <w:r w:rsidR="00345F0B">
        <w:rPr>
          <w:rStyle w:val="FootnoteReference"/>
          <w:rFonts w:ascii="Cambria" w:hAnsi="Cambria" w:cstheme="minorHAnsi"/>
          <w:i/>
          <w:iCs/>
          <w:lang w:val="en-US"/>
        </w:rPr>
        <w:footnoteReference w:id="35"/>
      </w:r>
      <w:r w:rsidR="00A76578">
        <w:rPr>
          <w:rFonts w:ascii="Cambria" w:hAnsi="Cambria" w:cstheme="minorHAnsi"/>
          <w:lang w:val="en-US"/>
        </w:rPr>
        <w:t xml:space="preserve"> is that </w:t>
      </w:r>
      <w:r w:rsidR="00CC6057">
        <w:rPr>
          <w:rFonts w:ascii="Cambria" w:hAnsi="Cambria" w:cstheme="minorHAnsi"/>
          <w:lang w:val="en-US"/>
        </w:rPr>
        <w:t xml:space="preserve">most legal creativity, especially with respect to facilitative law, </w:t>
      </w:r>
      <w:r w:rsidR="00634054">
        <w:rPr>
          <w:rFonts w:ascii="Cambria" w:hAnsi="Cambria" w:cstheme="minorHAnsi"/>
          <w:lang w:val="en-US"/>
        </w:rPr>
        <w:t>is due to the work of lawyers, which is then brought to the court</w:t>
      </w:r>
      <w:r w:rsidR="00E1720F">
        <w:rPr>
          <w:rFonts w:ascii="Cambria" w:hAnsi="Cambria" w:cstheme="minorHAnsi"/>
          <w:lang w:val="en-US"/>
        </w:rPr>
        <w:t xml:space="preserve"> when a dispute arises. At that point the law </w:t>
      </w:r>
      <w:r w:rsidR="00E1720F">
        <w:rPr>
          <w:rFonts w:ascii="Cambria" w:hAnsi="Cambria" w:cstheme="minorHAnsi"/>
          <w:i/>
          <w:iCs/>
          <w:lang w:val="en-US"/>
        </w:rPr>
        <w:t>per se</w:t>
      </w:r>
      <w:r w:rsidR="00E1720F">
        <w:rPr>
          <w:rFonts w:ascii="Cambria" w:hAnsi="Cambria" w:cstheme="minorHAnsi"/>
          <w:lang w:val="en-US"/>
        </w:rPr>
        <w:t xml:space="preserve"> has a chance to register its approval or disapproval of the innovation.</w:t>
      </w:r>
      <w:r w:rsidR="00BC2A47">
        <w:rPr>
          <w:rFonts w:ascii="Cambria" w:hAnsi="Cambria" w:cstheme="minorHAnsi"/>
          <w:lang w:val="en-US"/>
        </w:rPr>
        <w:t xml:space="preserve"> </w:t>
      </w:r>
    </w:p>
    <w:p w14:paraId="1AA08DF2" w14:textId="1C722A06" w:rsidR="00E57030" w:rsidRDefault="00E57030" w:rsidP="006A1B52">
      <w:pPr>
        <w:jc w:val="both"/>
        <w:rPr>
          <w:rFonts w:ascii="Cambria" w:hAnsi="Cambria" w:cstheme="minorHAnsi"/>
          <w:lang w:val="en-US"/>
        </w:rPr>
      </w:pPr>
    </w:p>
    <w:p w14:paraId="12EE9BFA" w14:textId="6E06D190" w:rsidR="008115D4" w:rsidRPr="006E6F59" w:rsidRDefault="00891AA3" w:rsidP="008115D4">
      <w:pPr>
        <w:jc w:val="both"/>
        <w:rPr>
          <w:rFonts w:ascii="Cambria" w:hAnsi="Cambria" w:cstheme="minorHAnsi"/>
          <w:lang w:val="en-US"/>
        </w:rPr>
      </w:pPr>
      <w:r>
        <w:rPr>
          <w:rFonts w:ascii="Cambria" w:hAnsi="Cambria" w:cstheme="minorHAnsi"/>
          <w:lang w:val="en-US"/>
        </w:rPr>
        <w:t>I</w:t>
      </w:r>
      <w:r w:rsidR="00E57030">
        <w:rPr>
          <w:rFonts w:ascii="Cambria" w:hAnsi="Cambria" w:cstheme="minorHAnsi"/>
          <w:lang w:val="en-US"/>
        </w:rPr>
        <w:t xml:space="preserve">t is </w:t>
      </w:r>
      <w:r w:rsidR="00455C05">
        <w:rPr>
          <w:rFonts w:ascii="Cambria" w:hAnsi="Cambria" w:cstheme="minorHAnsi"/>
          <w:lang w:val="en-US"/>
        </w:rPr>
        <w:t xml:space="preserve">also </w:t>
      </w:r>
      <w:r w:rsidR="00E57030">
        <w:rPr>
          <w:rFonts w:ascii="Cambria" w:hAnsi="Cambria" w:cstheme="minorHAnsi"/>
          <w:lang w:val="en-US"/>
        </w:rPr>
        <w:t xml:space="preserve">well to remember that even </w:t>
      </w:r>
      <w:r w:rsidR="00836E11">
        <w:rPr>
          <w:rFonts w:ascii="Cambria" w:hAnsi="Cambria" w:cstheme="minorHAnsi"/>
          <w:lang w:val="en-US"/>
        </w:rPr>
        <w:t xml:space="preserve">many fundamental legal concepts are not ‘legal’ concepts at </w:t>
      </w:r>
      <w:proofErr w:type="gramStart"/>
      <w:r w:rsidR="00836E11">
        <w:rPr>
          <w:rFonts w:ascii="Cambria" w:hAnsi="Cambria" w:cstheme="minorHAnsi"/>
          <w:lang w:val="en-US"/>
        </w:rPr>
        <w:t>source,</w:t>
      </w:r>
      <w:r w:rsidR="00EB5380">
        <w:rPr>
          <w:rFonts w:ascii="Cambria" w:hAnsi="Cambria" w:cstheme="minorHAnsi"/>
          <w:lang w:val="en-US"/>
        </w:rPr>
        <w:t xml:space="preserve"> </w:t>
      </w:r>
      <w:r w:rsidR="00836E11">
        <w:rPr>
          <w:rFonts w:ascii="Cambria" w:hAnsi="Cambria" w:cstheme="minorHAnsi"/>
          <w:lang w:val="en-US"/>
        </w:rPr>
        <w:t>but</w:t>
      </w:r>
      <w:proofErr w:type="gramEnd"/>
      <w:r w:rsidR="00836E11">
        <w:rPr>
          <w:rFonts w:ascii="Cambria" w:hAnsi="Cambria" w:cstheme="minorHAnsi"/>
          <w:lang w:val="en-US"/>
        </w:rPr>
        <w:t xml:space="preserve"> borrowed and </w:t>
      </w:r>
      <w:r w:rsidR="004B4463">
        <w:rPr>
          <w:rFonts w:ascii="Cambria" w:hAnsi="Cambria" w:cstheme="minorHAnsi"/>
          <w:lang w:val="en-US"/>
        </w:rPr>
        <w:t>modified</w:t>
      </w:r>
      <w:r w:rsidR="00836E11">
        <w:rPr>
          <w:rFonts w:ascii="Cambria" w:hAnsi="Cambria" w:cstheme="minorHAnsi"/>
          <w:lang w:val="en-US"/>
        </w:rPr>
        <w:t xml:space="preserve"> by the law. </w:t>
      </w:r>
      <w:r w:rsidR="00494290">
        <w:rPr>
          <w:rFonts w:ascii="Cambria" w:hAnsi="Cambria" w:cstheme="minorHAnsi"/>
          <w:lang w:val="en-US"/>
        </w:rPr>
        <w:t xml:space="preserve">As Raz says, </w:t>
      </w:r>
      <w:r w:rsidR="00C46B6C">
        <w:rPr>
          <w:rFonts w:ascii="Cambria" w:hAnsi="Cambria" w:cstheme="minorHAnsi"/>
          <w:lang w:val="en-US"/>
        </w:rPr>
        <w:t>‘</w:t>
      </w:r>
      <w:r w:rsidR="00611147" w:rsidRPr="00611147">
        <w:rPr>
          <w:rFonts w:ascii="Cambria" w:hAnsi="Cambria" w:cstheme="minorHAnsi"/>
          <w:lang w:val="en-US"/>
        </w:rPr>
        <w:t>Negligence is not a legal concept; it is merely</w:t>
      </w:r>
      <w:r w:rsidR="00C46B6C">
        <w:rPr>
          <w:rFonts w:ascii="Cambria" w:hAnsi="Cambria" w:cstheme="minorHAnsi"/>
          <w:lang w:val="en-US"/>
        </w:rPr>
        <w:t xml:space="preserve"> </w:t>
      </w:r>
      <w:r w:rsidR="00611147" w:rsidRPr="00611147">
        <w:rPr>
          <w:rFonts w:ascii="Cambria" w:hAnsi="Cambria" w:cstheme="minorHAnsi"/>
          <w:lang w:val="en-US"/>
        </w:rPr>
        <w:t>borrowed and used by the law.</w:t>
      </w:r>
      <w:r w:rsidR="00C46B6C">
        <w:rPr>
          <w:rFonts w:ascii="Cambria" w:hAnsi="Cambria" w:cstheme="minorHAnsi"/>
          <w:lang w:val="en-US"/>
        </w:rPr>
        <w:t>’</w:t>
      </w:r>
      <w:r w:rsidR="00795227">
        <w:rPr>
          <w:rStyle w:val="FootnoteReference"/>
          <w:rFonts w:ascii="Cambria" w:hAnsi="Cambria" w:cstheme="minorHAnsi"/>
          <w:lang w:val="en-US"/>
        </w:rPr>
        <w:footnoteReference w:id="36"/>
      </w:r>
      <w:r w:rsidR="006E6F59">
        <w:rPr>
          <w:rFonts w:ascii="Cambria" w:hAnsi="Cambria" w:cstheme="minorHAnsi"/>
          <w:lang w:val="en-US"/>
        </w:rPr>
        <w:t xml:space="preserve">  </w:t>
      </w:r>
      <w:r w:rsidR="00245AE6">
        <w:rPr>
          <w:rFonts w:ascii="Cambria" w:hAnsi="Cambria" w:cstheme="minorHAnsi"/>
          <w:lang w:val="en-US"/>
        </w:rPr>
        <w:t xml:space="preserve">As Gardner says, </w:t>
      </w:r>
      <w:r w:rsidR="00144C56">
        <w:rPr>
          <w:rFonts w:ascii="Cambria" w:hAnsi="Cambria" w:cstheme="minorHAnsi"/>
          <w:lang w:val="en-US"/>
        </w:rPr>
        <w:t>‘[C]</w:t>
      </w:r>
      <w:proofErr w:type="spellStart"/>
      <w:r w:rsidR="00144C56" w:rsidRPr="00144C56">
        <w:rPr>
          <w:rFonts w:ascii="Cambria" w:hAnsi="Cambria" w:cstheme="minorHAnsi"/>
          <w:lang w:val="en-US"/>
        </w:rPr>
        <w:t>ontractual</w:t>
      </w:r>
      <w:proofErr w:type="spellEnd"/>
      <w:r w:rsidR="00144C56" w:rsidRPr="00144C56">
        <w:rPr>
          <w:rFonts w:ascii="Cambria" w:hAnsi="Cambria" w:cstheme="minorHAnsi"/>
          <w:lang w:val="en-US"/>
        </w:rPr>
        <w:t xml:space="preserve"> norms are not legal norms. They are merely legally </w:t>
      </w:r>
      <w:proofErr w:type="spellStart"/>
      <w:r w:rsidR="00144C56" w:rsidRPr="00144C56">
        <w:rPr>
          <w:rFonts w:ascii="Cambria" w:hAnsi="Cambria" w:cstheme="minorHAnsi"/>
          <w:lang w:val="en-US"/>
        </w:rPr>
        <w:t>recognised</w:t>
      </w:r>
      <w:proofErr w:type="spellEnd"/>
      <w:r w:rsidR="00144C56" w:rsidRPr="00144C56">
        <w:rPr>
          <w:rFonts w:ascii="Cambria" w:hAnsi="Cambria" w:cstheme="minorHAnsi"/>
          <w:lang w:val="en-US"/>
        </w:rPr>
        <w:t xml:space="preserve"> norms</w:t>
      </w:r>
      <w:r w:rsidR="00C8769D">
        <w:rPr>
          <w:rFonts w:ascii="Cambria" w:hAnsi="Cambria" w:cstheme="minorHAnsi"/>
          <w:lang w:val="en-US"/>
        </w:rPr>
        <w:t>.’</w:t>
      </w:r>
      <w:r w:rsidR="00C8769D">
        <w:rPr>
          <w:rStyle w:val="FootnoteReference"/>
          <w:rFonts w:ascii="Cambria" w:hAnsi="Cambria" w:cstheme="minorHAnsi"/>
          <w:lang w:val="en-US"/>
        </w:rPr>
        <w:footnoteReference w:id="37"/>
      </w:r>
      <w:r w:rsidR="00DD6809">
        <w:rPr>
          <w:rFonts w:ascii="Cambria" w:hAnsi="Cambria" w:cstheme="minorHAnsi"/>
          <w:lang w:val="en-US"/>
        </w:rPr>
        <w:t xml:space="preserve"> </w:t>
      </w:r>
      <w:r w:rsidR="003E03F2">
        <w:rPr>
          <w:rFonts w:ascii="Cambria" w:hAnsi="Cambria" w:cstheme="minorHAnsi"/>
          <w:lang w:val="en-US"/>
        </w:rPr>
        <w:t xml:space="preserve">And as </w:t>
      </w:r>
      <w:r w:rsidR="008115D4">
        <w:rPr>
          <w:rFonts w:ascii="Times New Roman" w:hAnsi="Times New Roman" w:cs="Times New Roman"/>
        </w:rPr>
        <w:t xml:space="preserve">Baker </w:t>
      </w:r>
      <w:r w:rsidR="003E03F2">
        <w:rPr>
          <w:rFonts w:ascii="Times New Roman" w:hAnsi="Times New Roman" w:cs="Times New Roman"/>
        </w:rPr>
        <w:t>says</w:t>
      </w:r>
      <w:r w:rsidR="008115D4">
        <w:rPr>
          <w:rFonts w:ascii="Times New Roman" w:hAnsi="Times New Roman" w:cs="Times New Roman"/>
        </w:rPr>
        <w:t>:</w:t>
      </w:r>
      <w:r w:rsidR="008115D4">
        <w:rPr>
          <w:rStyle w:val="FootnoteReference"/>
          <w:rFonts w:ascii="Times New Roman" w:hAnsi="Times New Roman" w:cs="Times New Roman"/>
        </w:rPr>
        <w:footnoteReference w:id="38"/>
      </w:r>
      <w:r w:rsidR="008115D4">
        <w:rPr>
          <w:rFonts w:ascii="Times New Roman" w:hAnsi="Times New Roman" w:cs="Times New Roman"/>
        </w:rPr>
        <w:t xml:space="preserve"> </w:t>
      </w:r>
    </w:p>
    <w:p w14:paraId="66E272A0" w14:textId="77777777" w:rsidR="008115D4" w:rsidRDefault="008115D4" w:rsidP="008115D4">
      <w:pPr>
        <w:jc w:val="both"/>
        <w:rPr>
          <w:rFonts w:ascii="Times New Roman" w:hAnsi="Times New Roman" w:cs="Times New Roman"/>
        </w:rPr>
      </w:pPr>
    </w:p>
    <w:p w14:paraId="185455CB" w14:textId="77777777" w:rsidR="008115D4" w:rsidRDefault="008115D4" w:rsidP="008115D4">
      <w:pPr>
        <w:ind w:left="720"/>
        <w:jc w:val="both"/>
        <w:rPr>
          <w:rFonts w:ascii="Times New Roman" w:hAnsi="Times New Roman" w:cs="Times New Roman"/>
        </w:rPr>
      </w:pPr>
      <w:r>
        <w:rPr>
          <w:rFonts w:ascii="Times New Roman" w:hAnsi="Times New Roman" w:cs="Times New Roman"/>
        </w:rPr>
        <w:t>On the one hand, there are those general propositions of law, good sense, and basic morality, and those usages in relation to everyday dealings, which guide and control the conduct of lay people in their different walks of life; and on the other there is the detailed, scholarly professional learning which is not shared by the public at large. The former might be categorized as fact rather than law. Usage and custom are treated by the law as fact rather than opinion, and the general assumptions of society are facts. This is historically as well as legally sound. Judges did not invent contracts, or trusts, or bonds, or even (I suspect) contingent remainders, before they were used in real life. No more have our present generation of judges invented credit cards or electronic bills of lading.</w:t>
      </w:r>
    </w:p>
    <w:p w14:paraId="766C1546" w14:textId="77777777" w:rsidR="008115D4" w:rsidRDefault="008115D4" w:rsidP="008115D4">
      <w:pPr>
        <w:jc w:val="both"/>
        <w:rPr>
          <w:rFonts w:ascii="Times New Roman" w:hAnsi="Times New Roman" w:cs="Times New Roman"/>
        </w:rPr>
      </w:pPr>
    </w:p>
    <w:p w14:paraId="2B79180A" w14:textId="7FAD1E65" w:rsidR="008115D4" w:rsidRDefault="008115D4" w:rsidP="008115D4">
      <w:pPr>
        <w:jc w:val="both"/>
        <w:rPr>
          <w:rFonts w:ascii="Times New Roman" w:hAnsi="Times New Roman" w:cs="Times New Roman"/>
        </w:rPr>
      </w:pPr>
      <w:r>
        <w:rPr>
          <w:rFonts w:ascii="Times New Roman" w:hAnsi="Times New Roman" w:cs="Times New Roman"/>
        </w:rPr>
        <w:t xml:space="preserve">I </w:t>
      </w:r>
      <w:r w:rsidR="00903F9B">
        <w:rPr>
          <w:rFonts w:ascii="Times New Roman" w:hAnsi="Times New Roman" w:cs="Times New Roman"/>
        </w:rPr>
        <w:t>sha</w:t>
      </w:r>
      <w:r>
        <w:rPr>
          <w:rFonts w:ascii="Times New Roman" w:hAnsi="Times New Roman" w:cs="Times New Roman"/>
        </w:rPr>
        <w:t xml:space="preserve">ll put to </w:t>
      </w:r>
      <w:r w:rsidR="00903F9B">
        <w:rPr>
          <w:rFonts w:ascii="Times New Roman" w:hAnsi="Times New Roman" w:cs="Times New Roman"/>
        </w:rPr>
        <w:t xml:space="preserve">one </w:t>
      </w:r>
      <w:r>
        <w:rPr>
          <w:rFonts w:ascii="Times New Roman" w:hAnsi="Times New Roman" w:cs="Times New Roman"/>
        </w:rPr>
        <w:t xml:space="preserve">side the </w:t>
      </w:r>
      <w:r w:rsidR="009A5E27">
        <w:rPr>
          <w:rFonts w:ascii="Times New Roman" w:hAnsi="Times New Roman" w:cs="Times New Roman"/>
        </w:rPr>
        <w:t>e</w:t>
      </w:r>
      <w:r w:rsidR="00861CCA">
        <w:rPr>
          <w:rFonts w:ascii="Times New Roman" w:hAnsi="Times New Roman" w:cs="Times New Roman"/>
        </w:rPr>
        <w:t>ntic</w:t>
      </w:r>
      <w:r>
        <w:rPr>
          <w:rFonts w:ascii="Times New Roman" w:hAnsi="Times New Roman" w:cs="Times New Roman"/>
        </w:rPr>
        <w:t>ing question of which parts of the judge-made law reflect more or less lay-notions of justice, and which reflect more technical legal ideas (</w:t>
      </w:r>
      <w:proofErr w:type="spellStart"/>
      <w:r>
        <w:rPr>
          <w:rFonts w:ascii="Times New Roman" w:hAnsi="Times New Roman" w:cs="Times New Roman"/>
        </w:rPr>
        <w:t>eg</w:t>
      </w:r>
      <w:proofErr w:type="spellEnd"/>
      <w:r>
        <w:rPr>
          <w:rFonts w:ascii="Times New Roman" w:hAnsi="Times New Roman" w:cs="Times New Roman"/>
        </w:rPr>
        <w:t xml:space="preserve"> contingent remainders) engineered, as it were, by practitioners and put into use long before any legal disputes brought them before a court. But surely a great deal of our legal understanding of a concept like property very much reflects the morally-charged common sense concept.</w:t>
      </w:r>
      <w:r>
        <w:rPr>
          <w:rStyle w:val="FootnoteReference"/>
          <w:rFonts w:ascii="Times New Roman" w:hAnsi="Times New Roman" w:cs="Times New Roman"/>
        </w:rPr>
        <w:footnoteReference w:id="39"/>
      </w:r>
      <w:r>
        <w:rPr>
          <w:rFonts w:ascii="Times New Roman" w:hAnsi="Times New Roman" w:cs="Times New Roman"/>
        </w:rPr>
        <w:t xml:space="preserve"> We can, though perhaps vaguely and unsatisfactorily, independently specify the moral considerations that the court must answer to in rendering a sound decision. This humble truth is the foundation stone for instrumentalists about the law like the late John Gardner and myself. On this conception, morality is </w:t>
      </w:r>
      <w:r w:rsidR="00666ADB">
        <w:rPr>
          <w:rFonts w:ascii="Times New Roman" w:hAnsi="Times New Roman" w:cs="Times New Roman"/>
        </w:rPr>
        <w:t>i</w:t>
      </w:r>
      <w:r>
        <w:rPr>
          <w:rFonts w:ascii="Times New Roman" w:hAnsi="Times New Roman" w:cs="Times New Roman"/>
        </w:rPr>
        <w:t xml:space="preserve">ncurably vague and indeterminate in many cases, and one of the chief functions of the law is to resolve these uncertainties so as to resolve disputes in as fair a way as possible, as well as giving concrete directives which aim to avoid disputes in the first place. </w:t>
      </w:r>
      <w:r w:rsidR="001716A1">
        <w:rPr>
          <w:rFonts w:ascii="Times New Roman" w:hAnsi="Times New Roman" w:cs="Times New Roman"/>
        </w:rPr>
        <w:t xml:space="preserve">Nevertheless, as Gardner </w:t>
      </w:r>
      <w:r w:rsidR="00041DCA">
        <w:rPr>
          <w:rFonts w:ascii="Times New Roman" w:hAnsi="Times New Roman" w:cs="Times New Roman"/>
        </w:rPr>
        <w:t xml:space="preserve">rather </w:t>
      </w:r>
      <w:r w:rsidR="001716A1">
        <w:rPr>
          <w:rFonts w:ascii="Times New Roman" w:hAnsi="Times New Roman" w:cs="Times New Roman"/>
        </w:rPr>
        <w:t>grandly puts it,</w:t>
      </w:r>
      <w:r w:rsidR="007664BA">
        <w:rPr>
          <w:rFonts w:ascii="Times New Roman" w:hAnsi="Times New Roman" w:cs="Times New Roman"/>
        </w:rPr>
        <w:t xml:space="preserve"> ‘</w:t>
      </w:r>
      <w:r w:rsidR="00AA543B">
        <w:rPr>
          <w:rFonts w:ascii="Times New Roman" w:hAnsi="Times New Roman" w:cs="Times New Roman"/>
        </w:rPr>
        <w:t>the timeless themes of private law are also the timeless themes of personal life</w:t>
      </w:r>
      <w:r w:rsidR="00E35E67">
        <w:rPr>
          <w:rFonts w:ascii="Times New Roman" w:hAnsi="Times New Roman" w:cs="Times New Roman"/>
        </w:rPr>
        <w:t>.</w:t>
      </w:r>
      <w:r w:rsidR="00AA543B">
        <w:rPr>
          <w:rFonts w:ascii="Times New Roman" w:hAnsi="Times New Roman" w:cs="Times New Roman"/>
        </w:rPr>
        <w:t>’</w:t>
      </w:r>
      <w:r w:rsidR="00AA543B">
        <w:rPr>
          <w:rStyle w:val="FootnoteReference"/>
          <w:rFonts w:ascii="Times New Roman" w:hAnsi="Times New Roman" w:cs="Times New Roman"/>
        </w:rPr>
        <w:footnoteReference w:id="40"/>
      </w:r>
    </w:p>
    <w:p w14:paraId="466C9382" w14:textId="0EF90F08" w:rsidR="00164A1C" w:rsidRDefault="00164A1C" w:rsidP="008F68D6">
      <w:pPr>
        <w:jc w:val="both"/>
        <w:rPr>
          <w:rFonts w:ascii="Times New Roman" w:hAnsi="Times New Roman" w:cs="Times New Roman"/>
        </w:rPr>
      </w:pPr>
    </w:p>
    <w:p w14:paraId="03C252A4" w14:textId="22D3224B" w:rsidR="0053472F" w:rsidRPr="00FA0702" w:rsidRDefault="0053472F" w:rsidP="008F68D6">
      <w:pPr>
        <w:jc w:val="both"/>
        <w:rPr>
          <w:rFonts w:ascii="Cambria" w:hAnsi="Cambria" w:cstheme="minorHAnsi"/>
          <w:lang w:val="en-US"/>
        </w:rPr>
      </w:pPr>
      <w:r>
        <w:rPr>
          <w:rFonts w:ascii="Times New Roman" w:hAnsi="Times New Roman" w:cs="Times New Roman"/>
        </w:rPr>
        <w:t xml:space="preserve">But </w:t>
      </w:r>
      <w:r w:rsidR="009B2063">
        <w:rPr>
          <w:rFonts w:ascii="Times New Roman" w:hAnsi="Times New Roman" w:cs="Times New Roman"/>
        </w:rPr>
        <w:t xml:space="preserve">all of </w:t>
      </w:r>
      <w:r>
        <w:rPr>
          <w:rFonts w:ascii="Times New Roman" w:hAnsi="Times New Roman" w:cs="Times New Roman"/>
        </w:rPr>
        <w:t>this is, in a sense, by the way</w:t>
      </w:r>
      <w:r w:rsidR="00BE35EE">
        <w:rPr>
          <w:rFonts w:ascii="Times New Roman" w:hAnsi="Times New Roman" w:cs="Times New Roman"/>
        </w:rPr>
        <w:t>,</w:t>
      </w:r>
      <w:r w:rsidR="00BE35EE">
        <w:rPr>
          <w:rFonts w:ascii="Cambria" w:hAnsi="Cambria" w:cstheme="minorHAnsi"/>
          <w:lang w:val="en-US"/>
        </w:rPr>
        <w:t xml:space="preserve"> because most of the sorts of meaningful options </w:t>
      </w:r>
      <w:r w:rsidR="00E13AD2">
        <w:rPr>
          <w:rFonts w:ascii="Cambria" w:hAnsi="Cambria" w:cstheme="minorHAnsi"/>
          <w:lang w:val="en-US"/>
        </w:rPr>
        <w:t xml:space="preserve">we regard as </w:t>
      </w:r>
      <w:r w:rsidR="00A575F0">
        <w:rPr>
          <w:rFonts w:ascii="Cambria" w:hAnsi="Cambria" w:cstheme="minorHAnsi"/>
          <w:lang w:val="en-US"/>
        </w:rPr>
        <w:t xml:space="preserve">those which compose the adequate range we need </w:t>
      </w:r>
      <w:r w:rsidR="00745957">
        <w:rPr>
          <w:rFonts w:ascii="Cambria" w:hAnsi="Cambria" w:cstheme="minorHAnsi"/>
          <w:lang w:val="en-US"/>
        </w:rPr>
        <w:t xml:space="preserve">to pursue an autonomous life </w:t>
      </w:r>
      <w:r w:rsidR="00BE35EE">
        <w:rPr>
          <w:rFonts w:ascii="Cambria" w:hAnsi="Cambria" w:cstheme="minorHAnsi"/>
          <w:lang w:val="en-US"/>
        </w:rPr>
        <w:t>are not created by the state, much less by the law, at all.</w:t>
      </w:r>
      <w:r w:rsidR="00FA0702">
        <w:rPr>
          <w:rFonts w:ascii="Cambria" w:hAnsi="Cambria" w:cstheme="minorHAnsi"/>
          <w:lang w:val="en-US"/>
        </w:rPr>
        <w:t xml:space="preserve"> </w:t>
      </w:r>
      <w:r w:rsidR="00E75AD6">
        <w:rPr>
          <w:rFonts w:ascii="Times New Roman" w:hAnsi="Times New Roman" w:cs="Times New Roman"/>
        </w:rPr>
        <w:t>Raz’s standard examples of  meaningful options are occupations</w:t>
      </w:r>
      <w:r w:rsidR="001F12DB">
        <w:rPr>
          <w:rFonts w:ascii="Times New Roman" w:hAnsi="Times New Roman" w:cs="Times New Roman"/>
        </w:rPr>
        <w:t>, friendship</w:t>
      </w:r>
      <w:r w:rsidR="009A7D5A">
        <w:rPr>
          <w:rFonts w:ascii="Times New Roman" w:hAnsi="Times New Roman" w:cs="Times New Roman"/>
        </w:rPr>
        <w:t>s</w:t>
      </w:r>
      <w:r w:rsidR="001F12DB">
        <w:rPr>
          <w:rFonts w:ascii="Times New Roman" w:hAnsi="Times New Roman" w:cs="Times New Roman"/>
        </w:rPr>
        <w:t xml:space="preserve">, and cultural pursuits, such as games and the arts. </w:t>
      </w:r>
      <w:r w:rsidR="00C37B97">
        <w:rPr>
          <w:rFonts w:ascii="Times New Roman" w:hAnsi="Times New Roman" w:cs="Times New Roman"/>
        </w:rPr>
        <w:t>None of these are the creations of the law or the state</w:t>
      </w:r>
      <w:r w:rsidR="003C5087">
        <w:rPr>
          <w:rFonts w:ascii="Times New Roman" w:hAnsi="Times New Roman" w:cs="Times New Roman"/>
        </w:rPr>
        <w:t xml:space="preserve">. They are the </w:t>
      </w:r>
      <w:r w:rsidR="00134245">
        <w:rPr>
          <w:rFonts w:ascii="Times New Roman" w:hAnsi="Times New Roman" w:cs="Times New Roman"/>
        </w:rPr>
        <w:t>creations</w:t>
      </w:r>
      <w:r w:rsidR="003C5087">
        <w:rPr>
          <w:rFonts w:ascii="Times New Roman" w:hAnsi="Times New Roman" w:cs="Times New Roman"/>
        </w:rPr>
        <w:t xml:space="preserve"> of society.</w:t>
      </w:r>
      <w:r w:rsidR="00C37B97">
        <w:rPr>
          <w:rFonts w:ascii="Times New Roman" w:hAnsi="Times New Roman" w:cs="Times New Roman"/>
        </w:rPr>
        <w:t xml:space="preserve"> </w:t>
      </w:r>
      <w:r w:rsidR="003C5087">
        <w:rPr>
          <w:rFonts w:ascii="Times New Roman" w:hAnsi="Times New Roman" w:cs="Times New Roman"/>
        </w:rPr>
        <w:lastRenderedPageBreak/>
        <w:t>T</w:t>
      </w:r>
      <w:r w:rsidR="00C37B97">
        <w:rPr>
          <w:rFonts w:ascii="Times New Roman" w:hAnsi="Times New Roman" w:cs="Times New Roman"/>
        </w:rPr>
        <w:t xml:space="preserve">he law </w:t>
      </w:r>
      <w:r w:rsidR="003C5087">
        <w:rPr>
          <w:rFonts w:ascii="Times New Roman" w:hAnsi="Times New Roman" w:cs="Times New Roman"/>
        </w:rPr>
        <w:t xml:space="preserve">can </w:t>
      </w:r>
      <w:r w:rsidR="00E33C47">
        <w:rPr>
          <w:rFonts w:ascii="Times New Roman" w:hAnsi="Times New Roman" w:cs="Times New Roman"/>
        </w:rPr>
        <w:t xml:space="preserve">and </w:t>
      </w:r>
      <w:r w:rsidR="00C37B97">
        <w:rPr>
          <w:rFonts w:ascii="Times New Roman" w:hAnsi="Times New Roman" w:cs="Times New Roman"/>
        </w:rPr>
        <w:t xml:space="preserve">does regulate them – the law can </w:t>
      </w:r>
      <w:r w:rsidR="009B50CC">
        <w:rPr>
          <w:rFonts w:ascii="Times New Roman" w:hAnsi="Times New Roman" w:cs="Times New Roman"/>
        </w:rPr>
        <w:t>regulate anything</w:t>
      </w:r>
      <w:r w:rsidR="00537F7A">
        <w:rPr>
          <w:rFonts w:ascii="Times New Roman" w:hAnsi="Times New Roman" w:cs="Times New Roman"/>
        </w:rPr>
        <w:t>. And</w:t>
      </w:r>
      <w:r w:rsidR="009B50CC">
        <w:rPr>
          <w:rFonts w:ascii="Times New Roman" w:hAnsi="Times New Roman" w:cs="Times New Roman"/>
        </w:rPr>
        <w:t xml:space="preserve"> the state </w:t>
      </w:r>
      <w:r w:rsidR="00537F7A">
        <w:rPr>
          <w:rFonts w:ascii="Times New Roman" w:hAnsi="Times New Roman" w:cs="Times New Roman"/>
        </w:rPr>
        <w:t xml:space="preserve">also </w:t>
      </w:r>
      <w:r w:rsidR="009B50CC">
        <w:rPr>
          <w:rFonts w:ascii="Times New Roman" w:hAnsi="Times New Roman" w:cs="Times New Roman"/>
        </w:rPr>
        <w:t xml:space="preserve">has a </w:t>
      </w:r>
      <w:r w:rsidR="00537F7A">
        <w:rPr>
          <w:rFonts w:ascii="Times New Roman" w:hAnsi="Times New Roman" w:cs="Times New Roman"/>
        </w:rPr>
        <w:t xml:space="preserve">significant </w:t>
      </w:r>
      <w:r w:rsidR="009B50CC">
        <w:rPr>
          <w:rFonts w:ascii="Times New Roman" w:hAnsi="Times New Roman" w:cs="Times New Roman"/>
        </w:rPr>
        <w:t>role to play</w:t>
      </w:r>
      <w:r w:rsidR="004E3D35">
        <w:rPr>
          <w:rFonts w:ascii="Times New Roman" w:hAnsi="Times New Roman" w:cs="Times New Roman"/>
        </w:rPr>
        <w:t xml:space="preserve">. </w:t>
      </w:r>
      <w:r w:rsidR="00077BF1">
        <w:rPr>
          <w:rFonts w:ascii="Times New Roman" w:hAnsi="Times New Roman" w:cs="Times New Roman"/>
        </w:rPr>
        <w:t xml:space="preserve">Sometimes </w:t>
      </w:r>
      <w:r w:rsidR="003949E2">
        <w:rPr>
          <w:rFonts w:ascii="Times New Roman" w:hAnsi="Times New Roman" w:cs="Times New Roman"/>
        </w:rPr>
        <w:t xml:space="preserve">it does so </w:t>
      </w:r>
      <w:r w:rsidR="00077BF1">
        <w:rPr>
          <w:rFonts w:ascii="Times New Roman" w:hAnsi="Times New Roman" w:cs="Times New Roman"/>
        </w:rPr>
        <w:t>directly, with target</w:t>
      </w:r>
      <w:r w:rsidR="00EE2DFB">
        <w:rPr>
          <w:rFonts w:ascii="Times New Roman" w:hAnsi="Times New Roman" w:cs="Times New Roman"/>
        </w:rPr>
        <w:t>ed</w:t>
      </w:r>
      <w:r w:rsidR="00077BF1">
        <w:rPr>
          <w:rFonts w:ascii="Times New Roman" w:hAnsi="Times New Roman" w:cs="Times New Roman"/>
        </w:rPr>
        <w:t xml:space="preserve"> funding and subsidies</w:t>
      </w:r>
      <w:r w:rsidR="00796C19">
        <w:rPr>
          <w:rFonts w:ascii="Times New Roman" w:hAnsi="Times New Roman" w:cs="Times New Roman"/>
        </w:rPr>
        <w:t xml:space="preserve">, but generally </w:t>
      </w:r>
      <w:r w:rsidR="003949E2">
        <w:rPr>
          <w:rFonts w:ascii="Times New Roman" w:hAnsi="Times New Roman" w:cs="Times New Roman"/>
        </w:rPr>
        <w:t xml:space="preserve">it does so </w:t>
      </w:r>
      <w:r w:rsidR="00796C19">
        <w:rPr>
          <w:rFonts w:ascii="Times New Roman" w:hAnsi="Times New Roman" w:cs="Times New Roman"/>
        </w:rPr>
        <w:t xml:space="preserve">indirectly by providing for the first of Raz’s conditions, the capacity for autonomy, by providing education and healthcare. </w:t>
      </w:r>
    </w:p>
    <w:p w14:paraId="2205EB51" w14:textId="58213886" w:rsidR="00AF47A7" w:rsidRDefault="00AF47A7" w:rsidP="008F68D6">
      <w:pPr>
        <w:jc w:val="both"/>
        <w:rPr>
          <w:rFonts w:ascii="Times New Roman" w:hAnsi="Times New Roman" w:cs="Times New Roman"/>
        </w:rPr>
      </w:pPr>
    </w:p>
    <w:p w14:paraId="0D824C11" w14:textId="4A6897E8" w:rsidR="00AF47A7" w:rsidRDefault="00AF47A7" w:rsidP="008F68D6">
      <w:pPr>
        <w:jc w:val="both"/>
        <w:rPr>
          <w:rFonts w:ascii="Times New Roman" w:hAnsi="Times New Roman" w:cs="Times New Roman"/>
        </w:rPr>
      </w:pPr>
      <w:r>
        <w:rPr>
          <w:rFonts w:ascii="Times New Roman" w:hAnsi="Times New Roman" w:cs="Times New Roman"/>
        </w:rPr>
        <w:t>There is</w:t>
      </w:r>
      <w:r w:rsidR="0061781D">
        <w:rPr>
          <w:rFonts w:ascii="Times New Roman" w:hAnsi="Times New Roman" w:cs="Times New Roman"/>
        </w:rPr>
        <w:t>, however,</w:t>
      </w:r>
      <w:r w:rsidR="006A13B0">
        <w:rPr>
          <w:rFonts w:ascii="Times New Roman" w:hAnsi="Times New Roman" w:cs="Times New Roman"/>
        </w:rPr>
        <w:t xml:space="preserve"> </w:t>
      </w:r>
      <w:r>
        <w:rPr>
          <w:rFonts w:ascii="Times New Roman" w:hAnsi="Times New Roman" w:cs="Times New Roman"/>
        </w:rPr>
        <w:t>one</w:t>
      </w:r>
      <w:r w:rsidR="00EE6C48">
        <w:rPr>
          <w:rFonts w:ascii="Times New Roman" w:hAnsi="Times New Roman" w:cs="Times New Roman"/>
        </w:rPr>
        <w:t xml:space="preserve"> </w:t>
      </w:r>
      <w:r>
        <w:rPr>
          <w:rFonts w:ascii="Times New Roman" w:hAnsi="Times New Roman" w:cs="Times New Roman"/>
        </w:rPr>
        <w:t>thing that can be said for the law</w:t>
      </w:r>
      <w:r w:rsidR="00EE6C48">
        <w:rPr>
          <w:rFonts w:ascii="Times New Roman" w:hAnsi="Times New Roman" w:cs="Times New Roman"/>
        </w:rPr>
        <w:t xml:space="preserve"> in this regard</w:t>
      </w:r>
      <w:r>
        <w:rPr>
          <w:rFonts w:ascii="Times New Roman" w:hAnsi="Times New Roman" w:cs="Times New Roman"/>
        </w:rPr>
        <w:t xml:space="preserve">. </w:t>
      </w:r>
      <w:r w:rsidR="002154C3">
        <w:rPr>
          <w:rFonts w:ascii="Times New Roman" w:hAnsi="Times New Roman" w:cs="Times New Roman"/>
        </w:rPr>
        <w:t>This is the possibility</w:t>
      </w:r>
      <w:r w:rsidR="00070D79">
        <w:rPr>
          <w:rFonts w:ascii="Times New Roman" w:hAnsi="Times New Roman" w:cs="Times New Roman"/>
        </w:rPr>
        <w:t xml:space="preserve"> that, as Gardner puts it:</w:t>
      </w:r>
    </w:p>
    <w:p w14:paraId="13CECC9A" w14:textId="7F8BE956" w:rsidR="00070D79" w:rsidRDefault="00070D79" w:rsidP="008F68D6">
      <w:pPr>
        <w:jc w:val="both"/>
        <w:rPr>
          <w:rFonts w:ascii="Times New Roman" w:hAnsi="Times New Roman" w:cs="Times New Roman"/>
        </w:rPr>
      </w:pPr>
    </w:p>
    <w:p w14:paraId="35838DB1" w14:textId="5B6A4A6A" w:rsidR="00070D79" w:rsidRDefault="00615A34" w:rsidP="00070D79">
      <w:pPr>
        <w:ind w:left="720"/>
        <w:jc w:val="both"/>
        <w:rPr>
          <w:rFonts w:ascii="Times New Roman" w:hAnsi="Times New Roman" w:cs="Times New Roman"/>
        </w:rPr>
      </w:pPr>
      <w:r>
        <w:rPr>
          <w:rFonts w:ascii="Times New Roman" w:hAnsi="Times New Roman" w:cs="Times New Roman"/>
        </w:rPr>
        <w:t>the law’s recognition of and support for special relationships</w:t>
      </w:r>
      <w:r w:rsidR="0015530C">
        <w:rPr>
          <w:rFonts w:ascii="Times New Roman" w:hAnsi="Times New Roman" w:cs="Times New Roman"/>
        </w:rPr>
        <w:t xml:space="preserve"> sometimes contributes to their availability and sustainability</w:t>
      </w:r>
      <w:r w:rsidR="002C784D">
        <w:rPr>
          <w:rFonts w:ascii="Times New Roman" w:hAnsi="Times New Roman" w:cs="Times New Roman"/>
        </w:rPr>
        <w:t xml:space="preserve">… , for example by helping to crystallize </w:t>
      </w:r>
      <w:r w:rsidR="007941E5">
        <w:rPr>
          <w:rFonts w:ascii="Times New Roman" w:hAnsi="Times New Roman" w:cs="Times New Roman"/>
        </w:rPr>
        <w:t>their constitutive norms, or to affirm their social significance, or to emphasize their solemnity</w:t>
      </w:r>
      <w:r w:rsidR="007941E5" w:rsidRPr="006C28C6">
        <w:rPr>
          <w:rFonts w:ascii="Times New Roman" w:hAnsi="Times New Roman" w:cs="Times New Roman"/>
        </w:rPr>
        <w:t>.</w:t>
      </w:r>
      <w:r w:rsidR="00775836" w:rsidRPr="006C28C6">
        <w:rPr>
          <w:rStyle w:val="FootnoteReference"/>
          <w:rFonts w:ascii="Times New Roman" w:hAnsi="Times New Roman" w:cs="Times New Roman"/>
        </w:rPr>
        <w:footnoteReference w:id="41"/>
      </w:r>
      <w:r w:rsidR="00EE2DFB" w:rsidRPr="006C28C6">
        <w:rPr>
          <w:rFonts w:ascii="Times New Roman" w:hAnsi="Times New Roman" w:cs="Times New Roman"/>
        </w:rPr>
        <w:t xml:space="preserve">  </w:t>
      </w:r>
      <w:r w:rsidR="00EE2DFB" w:rsidRPr="00CA22F2">
        <w:rPr>
          <w:rFonts w:ascii="Times New Roman" w:hAnsi="Times New Roman" w:cs="Times New Roman"/>
          <w:highlight w:val="yellow"/>
        </w:rPr>
        <w:t xml:space="preserve"> </w:t>
      </w:r>
    </w:p>
    <w:p w14:paraId="675E9552" w14:textId="73C2FBDD" w:rsidR="000148E0" w:rsidRDefault="000148E0" w:rsidP="008F68D6">
      <w:pPr>
        <w:jc w:val="both"/>
        <w:rPr>
          <w:rFonts w:ascii="Times New Roman" w:hAnsi="Times New Roman" w:cs="Times New Roman"/>
        </w:rPr>
      </w:pPr>
    </w:p>
    <w:p w14:paraId="55D95003" w14:textId="05A2501D" w:rsidR="00465385" w:rsidRDefault="006C28C6" w:rsidP="008F68D6">
      <w:pPr>
        <w:jc w:val="both"/>
        <w:rPr>
          <w:rFonts w:ascii="Times New Roman" w:hAnsi="Times New Roman" w:cs="Times New Roman"/>
        </w:rPr>
      </w:pPr>
      <w:r>
        <w:rPr>
          <w:rFonts w:ascii="Times New Roman" w:hAnsi="Times New Roman" w:cs="Times New Roman"/>
        </w:rPr>
        <w:t>But this must be set against the law’s ability to undermine non-legal</w:t>
      </w:r>
      <w:r w:rsidR="002842A7">
        <w:rPr>
          <w:rFonts w:ascii="Times New Roman" w:hAnsi="Times New Roman" w:cs="Times New Roman"/>
        </w:rPr>
        <w:t>ly constituted special relationships or roles</w:t>
      </w:r>
      <w:r w:rsidR="002F6AD5">
        <w:rPr>
          <w:rFonts w:ascii="Times New Roman" w:hAnsi="Times New Roman" w:cs="Times New Roman"/>
        </w:rPr>
        <w:t>, the</w:t>
      </w:r>
      <w:r w:rsidR="002E2ED0">
        <w:rPr>
          <w:rFonts w:ascii="Times New Roman" w:hAnsi="Times New Roman" w:cs="Times New Roman"/>
        </w:rPr>
        <w:t xml:space="preserve"> </w:t>
      </w:r>
      <w:r w:rsidR="00DB297C">
        <w:rPr>
          <w:rFonts w:ascii="Times New Roman" w:hAnsi="Times New Roman" w:cs="Times New Roman"/>
        </w:rPr>
        <w:t>pursuit of</w:t>
      </w:r>
      <w:r w:rsidR="002E2ED0">
        <w:rPr>
          <w:rFonts w:ascii="Times New Roman" w:hAnsi="Times New Roman" w:cs="Times New Roman"/>
        </w:rPr>
        <w:t xml:space="preserve"> which </w:t>
      </w:r>
      <w:r w:rsidR="00DB297C">
        <w:rPr>
          <w:rFonts w:ascii="Times New Roman" w:hAnsi="Times New Roman" w:cs="Times New Roman"/>
        </w:rPr>
        <w:t>counts</w:t>
      </w:r>
      <w:r w:rsidR="002842A7">
        <w:rPr>
          <w:rFonts w:ascii="Times New Roman" w:hAnsi="Times New Roman" w:cs="Times New Roman"/>
        </w:rPr>
        <w:t xml:space="preserve"> as choosing a meaningful life option. </w:t>
      </w:r>
      <w:r w:rsidR="008E2C81">
        <w:rPr>
          <w:rFonts w:ascii="Times New Roman" w:hAnsi="Times New Roman" w:cs="Times New Roman"/>
        </w:rPr>
        <w:t xml:space="preserve">One example is the </w:t>
      </w:r>
      <w:r w:rsidR="00616FC3">
        <w:rPr>
          <w:rFonts w:ascii="Times New Roman" w:hAnsi="Times New Roman" w:cs="Times New Roman"/>
        </w:rPr>
        <w:t>danger Gardner identifies i</w:t>
      </w:r>
      <w:r w:rsidR="00C249BE">
        <w:rPr>
          <w:rFonts w:ascii="Times New Roman" w:hAnsi="Times New Roman" w:cs="Times New Roman"/>
        </w:rPr>
        <w:t>n</w:t>
      </w:r>
      <w:r w:rsidR="00616FC3">
        <w:rPr>
          <w:rFonts w:ascii="Times New Roman" w:hAnsi="Times New Roman" w:cs="Times New Roman"/>
        </w:rPr>
        <w:t xml:space="preserve"> </w:t>
      </w:r>
      <w:r w:rsidR="00765C3F">
        <w:rPr>
          <w:rFonts w:ascii="Times New Roman" w:hAnsi="Times New Roman" w:cs="Times New Roman"/>
        </w:rPr>
        <w:t>what he calls ‘</w:t>
      </w:r>
      <w:proofErr w:type="spellStart"/>
      <w:r w:rsidR="00765C3F">
        <w:rPr>
          <w:rFonts w:ascii="Times New Roman" w:hAnsi="Times New Roman" w:cs="Times New Roman"/>
        </w:rPr>
        <w:t>contractualisation</w:t>
      </w:r>
      <w:proofErr w:type="spellEnd"/>
      <w:r w:rsidR="00765C3F">
        <w:rPr>
          <w:rFonts w:ascii="Times New Roman" w:hAnsi="Times New Roman" w:cs="Times New Roman"/>
        </w:rPr>
        <w:t>’.</w:t>
      </w:r>
      <w:r w:rsidR="00514D49">
        <w:rPr>
          <w:rStyle w:val="FootnoteReference"/>
          <w:rFonts w:ascii="Times New Roman" w:hAnsi="Times New Roman" w:cs="Times New Roman"/>
        </w:rPr>
        <w:footnoteReference w:id="42"/>
      </w:r>
      <w:r w:rsidR="00765C3F">
        <w:rPr>
          <w:rFonts w:ascii="Times New Roman" w:hAnsi="Times New Roman" w:cs="Times New Roman"/>
        </w:rPr>
        <w:t xml:space="preserve"> </w:t>
      </w:r>
      <w:r w:rsidR="009F4A9E">
        <w:rPr>
          <w:rFonts w:ascii="Times New Roman" w:hAnsi="Times New Roman" w:cs="Times New Roman"/>
        </w:rPr>
        <w:t>This is the phenomenon of the law</w:t>
      </w:r>
      <w:r w:rsidR="00A34652">
        <w:rPr>
          <w:rFonts w:ascii="Times New Roman" w:hAnsi="Times New Roman" w:cs="Times New Roman"/>
        </w:rPr>
        <w:t>’s making special relationships</w:t>
      </w:r>
      <w:r w:rsidR="004D4F42">
        <w:rPr>
          <w:rFonts w:ascii="Times New Roman" w:hAnsi="Times New Roman" w:cs="Times New Roman"/>
        </w:rPr>
        <w:t xml:space="preserve"> or roles</w:t>
      </w:r>
      <w:r w:rsidR="0000299E">
        <w:rPr>
          <w:rFonts w:ascii="Times New Roman" w:hAnsi="Times New Roman" w:cs="Times New Roman"/>
        </w:rPr>
        <w:t>,</w:t>
      </w:r>
      <w:r w:rsidR="002F6AD5">
        <w:rPr>
          <w:rFonts w:ascii="Times New Roman" w:hAnsi="Times New Roman" w:cs="Times New Roman"/>
        </w:rPr>
        <w:t xml:space="preserve"> </w:t>
      </w:r>
      <w:r w:rsidR="00A34652">
        <w:rPr>
          <w:rFonts w:ascii="Times New Roman" w:hAnsi="Times New Roman" w:cs="Times New Roman"/>
        </w:rPr>
        <w:t>such as employer-employee</w:t>
      </w:r>
      <w:r w:rsidR="004D4F42">
        <w:rPr>
          <w:rFonts w:ascii="Times New Roman" w:hAnsi="Times New Roman" w:cs="Times New Roman"/>
        </w:rPr>
        <w:t xml:space="preserve"> relationship</w:t>
      </w:r>
      <w:r w:rsidR="00A34652">
        <w:rPr>
          <w:rFonts w:ascii="Times New Roman" w:hAnsi="Times New Roman" w:cs="Times New Roman"/>
        </w:rPr>
        <w:t xml:space="preserve">, or </w:t>
      </w:r>
      <w:r w:rsidR="004D4F42">
        <w:rPr>
          <w:rFonts w:ascii="Times New Roman" w:hAnsi="Times New Roman" w:cs="Times New Roman"/>
        </w:rPr>
        <w:t xml:space="preserve">the role of </w:t>
      </w:r>
      <w:r w:rsidR="00A34652">
        <w:rPr>
          <w:rFonts w:ascii="Times New Roman" w:hAnsi="Times New Roman" w:cs="Times New Roman"/>
        </w:rPr>
        <w:t>architect or professor or student</w:t>
      </w:r>
      <w:r w:rsidR="0000299E">
        <w:rPr>
          <w:rFonts w:ascii="Times New Roman" w:hAnsi="Times New Roman" w:cs="Times New Roman"/>
        </w:rPr>
        <w:t>, malleable or ‘plastic’</w:t>
      </w:r>
      <w:r w:rsidR="00EF175F">
        <w:rPr>
          <w:rFonts w:ascii="Times New Roman" w:hAnsi="Times New Roman" w:cs="Times New Roman"/>
        </w:rPr>
        <w:t xml:space="preserve"> under the aegis of </w:t>
      </w:r>
      <w:r w:rsidR="007D312D">
        <w:rPr>
          <w:rFonts w:ascii="Times New Roman" w:hAnsi="Times New Roman" w:cs="Times New Roman"/>
        </w:rPr>
        <w:t>‘</w:t>
      </w:r>
      <w:r w:rsidR="00EF175F">
        <w:rPr>
          <w:rFonts w:ascii="Times New Roman" w:hAnsi="Times New Roman" w:cs="Times New Roman"/>
        </w:rPr>
        <w:t>freedom of contract</w:t>
      </w:r>
      <w:r w:rsidR="007D312D">
        <w:rPr>
          <w:rFonts w:ascii="Times New Roman" w:hAnsi="Times New Roman" w:cs="Times New Roman"/>
        </w:rPr>
        <w:t>’:</w:t>
      </w:r>
      <w:r w:rsidR="00EF175F">
        <w:rPr>
          <w:rFonts w:ascii="Times New Roman" w:hAnsi="Times New Roman" w:cs="Times New Roman"/>
        </w:rPr>
        <w:t xml:space="preserve"> terms can be agreed which very much undermine the </w:t>
      </w:r>
      <w:r w:rsidR="0085467D">
        <w:rPr>
          <w:rFonts w:ascii="Times New Roman" w:hAnsi="Times New Roman" w:cs="Times New Roman"/>
        </w:rPr>
        <w:t>basic sense of the special relationship or role.</w:t>
      </w:r>
      <w:r w:rsidR="00476CBA">
        <w:rPr>
          <w:rFonts w:ascii="Times New Roman" w:hAnsi="Times New Roman" w:cs="Times New Roman"/>
        </w:rPr>
        <w:t xml:space="preserve"> </w:t>
      </w:r>
      <w:r w:rsidR="00465385">
        <w:rPr>
          <w:rFonts w:ascii="Times New Roman" w:hAnsi="Times New Roman" w:cs="Times New Roman"/>
        </w:rPr>
        <w:t xml:space="preserve">Anyone who has </w:t>
      </w:r>
      <w:r w:rsidR="00654104">
        <w:rPr>
          <w:rFonts w:ascii="Times New Roman" w:hAnsi="Times New Roman" w:cs="Times New Roman"/>
        </w:rPr>
        <w:t xml:space="preserve">experienced the </w:t>
      </w:r>
      <w:r w:rsidR="004655E1">
        <w:rPr>
          <w:rFonts w:ascii="Times New Roman" w:hAnsi="Times New Roman" w:cs="Times New Roman"/>
        </w:rPr>
        <w:t>‘</w:t>
      </w:r>
      <w:proofErr w:type="spellStart"/>
      <w:r w:rsidR="00654104">
        <w:rPr>
          <w:rFonts w:ascii="Times New Roman" w:hAnsi="Times New Roman" w:cs="Times New Roman"/>
        </w:rPr>
        <w:t>managerialis</w:t>
      </w:r>
      <w:r w:rsidR="004655E1">
        <w:rPr>
          <w:rFonts w:ascii="Times New Roman" w:hAnsi="Times New Roman" w:cs="Times New Roman"/>
        </w:rPr>
        <w:t>ation</w:t>
      </w:r>
      <w:proofErr w:type="spellEnd"/>
      <w:r w:rsidR="004655E1">
        <w:rPr>
          <w:rFonts w:ascii="Times New Roman" w:hAnsi="Times New Roman" w:cs="Times New Roman"/>
        </w:rPr>
        <w:t>’ of the Anglo-American university in the last generation knows th</w:t>
      </w:r>
      <w:r w:rsidR="006405CC">
        <w:rPr>
          <w:rFonts w:ascii="Times New Roman" w:hAnsi="Times New Roman" w:cs="Times New Roman"/>
        </w:rPr>
        <w:t>e consequent</w:t>
      </w:r>
      <w:r w:rsidR="004655E1">
        <w:rPr>
          <w:rFonts w:ascii="Times New Roman" w:hAnsi="Times New Roman" w:cs="Times New Roman"/>
        </w:rPr>
        <w:t xml:space="preserve"> degr</w:t>
      </w:r>
      <w:r w:rsidR="001211EF">
        <w:rPr>
          <w:rFonts w:ascii="Times New Roman" w:hAnsi="Times New Roman" w:cs="Times New Roman"/>
        </w:rPr>
        <w:t>a</w:t>
      </w:r>
      <w:r w:rsidR="004655E1">
        <w:rPr>
          <w:rFonts w:ascii="Times New Roman" w:hAnsi="Times New Roman" w:cs="Times New Roman"/>
        </w:rPr>
        <w:t>dation of</w:t>
      </w:r>
      <w:r w:rsidR="001211EF">
        <w:rPr>
          <w:rFonts w:ascii="Times New Roman" w:hAnsi="Times New Roman" w:cs="Times New Roman"/>
        </w:rPr>
        <w:t xml:space="preserve"> </w:t>
      </w:r>
      <w:r w:rsidR="00476CBA">
        <w:rPr>
          <w:rFonts w:ascii="Times New Roman" w:hAnsi="Times New Roman" w:cs="Times New Roman"/>
        </w:rPr>
        <w:t xml:space="preserve">the </w:t>
      </w:r>
      <w:r w:rsidR="004655E1">
        <w:rPr>
          <w:rFonts w:ascii="Times New Roman" w:hAnsi="Times New Roman" w:cs="Times New Roman"/>
        </w:rPr>
        <w:t>role</w:t>
      </w:r>
      <w:r w:rsidR="00A06472">
        <w:rPr>
          <w:rFonts w:ascii="Times New Roman" w:hAnsi="Times New Roman" w:cs="Times New Roman"/>
        </w:rPr>
        <w:t>s</w:t>
      </w:r>
      <w:r w:rsidR="004655E1">
        <w:rPr>
          <w:rFonts w:ascii="Times New Roman" w:hAnsi="Times New Roman" w:cs="Times New Roman"/>
        </w:rPr>
        <w:t xml:space="preserve"> </w:t>
      </w:r>
      <w:r w:rsidR="00476CBA">
        <w:rPr>
          <w:rFonts w:ascii="Times New Roman" w:hAnsi="Times New Roman" w:cs="Times New Roman"/>
        </w:rPr>
        <w:t xml:space="preserve">of teacher and student </w:t>
      </w:r>
      <w:r w:rsidR="00A06472">
        <w:rPr>
          <w:rFonts w:ascii="Times New Roman" w:hAnsi="Times New Roman" w:cs="Times New Roman"/>
        </w:rPr>
        <w:t>only</w:t>
      </w:r>
      <w:r w:rsidR="004655E1">
        <w:rPr>
          <w:rFonts w:ascii="Times New Roman" w:hAnsi="Times New Roman" w:cs="Times New Roman"/>
        </w:rPr>
        <w:t xml:space="preserve"> too well.</w:t>
      </w:r>
    </w:p>
    <w:p w14:paraId="4666BEFB" w14:textId="77777777" w:rsidR="00765C3F" w:rsidRDefault="00765C3F" w:rsidP="008F68D6">
      <w:pPr>
        <w:jc w:val="both"/>
        <w:rPr>
          <w:rFonts w:ascii="Times New Roman" w:hAnsi="Times New Roman" w:cs="Times New Roman"/>
        </w:rPr>
      </w:pPr>
    </w:p>
    <w:p w14:paraId="1A454B3E" w14:textId="0220FA28" w:rsidR="006C28C6" w:rsidRDefault="003D4F65" w:rsidP="003D4F65">
      <w:pPr>
        <w:pStyle w:val="ListParagraph"/>
        <w:numPr>
          <w:ilvl w:val="0"/>
          <w:numId w:val="2"/>
        </w:numPr>
        <w:jc w:val="both"/>
        <w:rPr>
          <w:rFonts w:ascii="Times New Roman" w:hAnsi="Times New Roman" w:cs="Times New Roman"/>
        </w:rPr>
      </w:pPr>
      <w:r>
        <w:rPr>
          <w:rFonts w:ascii="Times New Roman" w:hAnsi="Times New Roman" w:cs="Times New Roman"/>
        </w:rPr>
        <w:t xml:space="preserve">Dagan’s </w:t>
      </w:r>
      <w:r w:rsidR="00C128F8">
        <w:rPr>
          <w:rFonts w:ascii="Times New Roman" w:hAnsi="Times New Roman" w:cs="Times New Roman"/>
        </w:rPr>
        <w:t xml:space="preserve">and Heller’s </w:t>
      </w:r>
      <w:r w:rsidR="00F175C9">
        <w:rPr>
          <w:rFonts w:ascii="Times New Roman" w:hAnsi="Times New Roman" w:cs="Times New Roman"/>
        </w:rPr>
        <w:t>Choice Theory of Contracts</w:t>
      </w:r>
    </w:p>
    <w:p w14:paraId="2CA2DF81" w14:textId="77777777" w:rsidR="00F175C9" w:rsidRPr="003D4F65" w:rsidRDefault="00F175C9" w:rsidP="00F175C9">
      <w:pPr>
        <w:pStyle w:val="ListParagraph"/>
        <w:jc w:val="both"/>
        <w:rPr>
          <w:rFonts w:ascii="Times New Roman" w:hAnsi="Times New Roman" w:cs="Times New Roman"/>
        </w:rPr>
      </w:pPr>
    </w:p>
    <w:p w14:paraId="5A68DE14" w14:textId="1C6640A9" w:rsidR="00BA0DE8" w:rsidRDefault="009D42C1" w:rsidP="008F68D6">
      <w:pPr>
        <w:jc w:val="both"/>
        <w:rPr>
          <w:rFonts w:ascii="Times New Roman" w:hAnsi="Times New Roman" w:cs="Times New Roman"/>
        </w:rPr>
      </w:pPr>
      <w:r>
        <w:rPr>
          <w:rFonts w:ascii="Times New Roman" w:hAnsi="Times New Roman" w:cs="Times New Roman"/>
        </w:rPr>
        <w:t xml:space="preserve">I shall now consider </w:t>
      </w:r>
      <w:r w:rsidR="00E847F7">
        <w:rPr>
          <w:rFonts w:ascii="Times New Roman" w:hAnsi="Times New Roman" w:cs="Times New Roman"/>
        </w:rPr>
        <w:t xml:space="preserve">Dagan’s </w:t>
      </w:r>
      <w:r w:rsidR="00C128F8">
        <w:rPr>
          <w:rFonts w:ascii="Times New Roman" w:hAnsi="Times New Roman" w:cs="Times New Roman"/>
        </w:rPr>
        <w:t xml:space="preserve">and Heller’s </w:t>
      </w:r>
      <w:r w:rsidR="00E847F7">
        <w:rPr>
          <w:rFonts w:ascii="Times New Roman" w:hAnsi="Times New Roman" w:cs="Times New Roman"/>
        </w:rPr>
        <w:t>claims</w:t>
      </w:r>
      <w:r w:rsidR="00250357">
        <w:rPr>
          <w:rFonts w:ascii="Times New Roman" w:hAnsi="Times New Roman" w:cs="Times New Roman"/>
        </w:rPr>
        <w:t xml:space="preserve"> </w:t>
      </w:r>
      <w:r w:rsidR="00E847F7">
        <w:rPr>
          <w:rFonts w:ascii="Times New Roman" w:hAnsi="Times New Roman" w:cs="Times New Roman"/>
        </w:rPr>
        <w:t>that a liberal law of contract</w:t>
      </w:r>
      <w:r w:rsidR="00250357">
        <w:rPr>
          <w:rFonts w:ascii="Times New Roman" w:hAnsi="Times New Roman" w:cs="Times New Roman"/>
        </w:rPr>
        <w:t xml:space="preserve"> </w:t>
      </w:r>
      <w:r w:rsidR="00E847F7">
        <w:rPr>
          <w:rFonts w:ascii="Times New Roman" w:hAnsi="Times New Roman" w:cs="Times New Roman"/>
        </w:rPr>
        <w:t>has as one of its central tasks the provision of meaningful ‘options</w:t>
      </w:r>
      <w:r w:rsidR="004B722F">
        <w:rPr>
          <w:rFonts w:ascii="Times New Roman" w:hAnsi="Times New Roman" w:cs="Times New Roman"/>
        </w:rPr>
        <w:t>’</w:t>
      </w:r>
      <w:r w:rsidR="00E847F7">
        <w:rPr>
          <w:rFonts w:ascii="Times New Roman" w:hAnsi="Times New Roman" w:cs="Times New Roman"/>
        </w:rPr>
        <w:t xml:space="preserve"> or ‘types’ of </w:t>
      </w:r>
      <w:r w:rsidR="00A216B0">
        <w:rPr>
          <w:rFonts w:ascii="Times New Roman" w:hAnsi="Times New Roman" w:cs="Times New Roman"/>
        </w:rPr>
        <w:t>contract</w:t>
      </w:r>
      <w:r w:rsidR="00877E32">
        <w:rPr>
          <w:rFonts w:ascii="Times New Roman" w:hAnsi="Times New Roman" w:cs="Times New Roman"/>
        </w:rPr>
        <w:t xml:space="preserve"> as set out in </w:t>
      </w:r>
      <w:r w:rsidR="00877E32">
        <w:rPr>
          <w:rFonts w:ascii="Times New Roman" w:hAnsi="Times New Roman" w:cs="Times New Roman"/>
        </w:rPr>
        <w:t xml:space="preserve">Dagan’s and Heller’s </w:t>
      </w:r>
      <w:r w:rsidR="00877E32">
        <w:rPr>
          <w:rFonts w:ascii="Times New Roman" w:hAnsi="Times New Roman" w:cs="Times New Roman"/>
          <w:i/>
          <w:iCs/>
        </w:rPr>
        <w:t>A Choice Theory of Contract</w:t>
      </w:r>
      <w:r w:rsidR="00AA6D0D" w:rsidRPr="00AA6D0D">
        <w:rPr>
          <w:rStyle w:val="FootnoteReference"/>
          <w:rFonts w:ascii="Times New Roman" w:hAnsi="Times New Roman" w:cs="Times New Roman"/>
        </w:rPr>
        <w:footnoteReference w:id="43"/>
      </w:r>
      <w:r w:rsidR="00877E32">
        <w:rPr>
          <w:rFonts w:ascii="Times New Roman" w:hAnsi="Times New Roman" w:cs="Times New Roman"/>
          <w:i/>
          <w:iCs/>
        </w:rPr>
        <w:t xml:space="preserve"> </w:t>
      </w:r>
      <w:r w:rsidR="00877E32">
        <w:rPr>
          <w:rFonts w:ascii="Times New Roman" w:hAnsi="Times New Roman" w:cs="Times New Roman"/>
        </w:rPr>
        <w:t>and their subsequent paper, ‘Autonomy For Contract Refined’</w:t>
      </w:r>
      <w:r w:rsidR="00877E32">
        <w:rPr>
          <w:rStyle w:val="FootnoteReference"/>
          <w:rFonts w:ascii="Times New Roman" w:hAnsi="Times New Roman" w:cs="Times New Roman"/>
        </w:rPr>
        <w:footnoteReference w:id="44"/>
      </w:r>
      <w:r w:rsidR="00877E32">
        <w:rPr>
          <w:rFonts w:ascii="Times New Roman" w:hAnsi="Times New Roman" w:cs="Times New Roman"/>
        </w:rPr>
        <w:t xml:space="preserve"> and Dagan’s ‘Contract’s Liberal Promise’.</w:t>
      </w:r>
      <w:r w:rsidR="00877E32">
        <w:rPr>
          <w:rStyle w:val="FootnoteReference"/>
          <w:rFonts w:ascii="Times New Roman" w:hAnsi="Times New Roman" w:cs="Times New Roman"/>
        </w:rPr>
        <w:footnoteReference w:id="45"/>
      </w:r>
      <w:r w:rsidR="00A216B0">
        <w:rPr>
          <w:rFonts w:ascii="Times New Roman" w:hAnsi="Times New Roman" w:cs="Times New Roman"/>
        </w:rPr>
        <w:t xml:space="preserve"> </w:t>
      </w:r>
      <w:r w:rsidR="007B02B1">
        <w:rPr>
          <w:rFonts w:ascii="Times New Roman" w:hAnsi="Times New Roman" w:cs="Times New Roman"/>
        </w:rPr>
        <w:t xml:space="preserve">What I am going to suggest is that </w:t>
      </w:r>
      <w:r w:rsidR="00380463">
        <w:rPr>
          <w:rFonts w:ascii="Times New Roman" w:hAnsi="Times New Roman" w:cs="Times New Roman"/>
        </w:rPr>
        <w:t xml:space="preserve">whilst this liberal theory of </w:t>
      </w:r>
      <w:r w:rsidR="00265612">
        <w:rPr>
          <w:rFonts w:ascii="Times New Roman" w:hAnsi="Times New Roman" w:cs="Times New Roman"/>
        </w:rPr>
        <w:t>contract</w:t>
      </w:r>
      <w:r w:rsidR="00380463">
        <w:rPr>
          <w:rFonts w:ascii="Times New Roman" w:hAnsi="Times New Roman" w:cs="Times New Roman"/>
        </w:rPr>
        <w:t xml:space="preserve"> is</w:t>
      </w:r>
      <w:r w:rsidR="002F7A38">
        <w:rPr>
          <w:rFonts w:ascii="Times New Roman" w:hAnsi="Times New Roman" w:cs="Times New Roman"/>
        </w:rPr>
        <w:t xml:space="preserve"> in part</w:t>
      </w:r>
      <w:r w:rsidR="00380463">
        <w:rPr>
          <w:rFonts w:ascii="Times New Roman" w:hAnsi="Times New Roman" w:cs="Times New Roman"/>
        </w:rPr>
        <w:t xml:space="preserve"> </w:t>
      </w:r>
      <w:r w:rsidR="00380463">
        <w:rPr>
          <w:rFonts w:ascii="Times New Roman" w:hAnsi="Times New Roman" w:cs="Times New Roman"/>
          <w:i/>
          <w:iCs/>
        </w:rPr>
        <w:t>inspired</w:t>
      </w:r>
      <w:r w:rsidR="00380463">
        <w:rPr>
          <w:rFonts w:ascii="Times New Roman" w:hAnsi="Times New Roman" w:cs="Times New Roman"/>
        </w:rPr>
        <w:t xml:space="preserve"> by Raz’s theory of autonomy, it is not really ver</w:t>
      </w:r>
      <w:r w:rsidR="00B80F84">
        <w:rPr>
          <w:rFonts w:ascii="Times New Roman" w:hAnsi="Times New Roman" w:cs="Times New Roman"/>
        </w:rPr>
        <w:t xml:space="preserve">y closely </w:t>
      </w:r>
      <w:r w:rsidR="00CF22FE">
        <w:rPr>
          <w:rFonts w:ascii="Times New Roman" w:hAnsi="Times New Roman" w:cs="Times New Roman"/>
        </w:rPr>
        <w:t>related to it</w:t>
      </w:r>
      <w:r w:rsidR="00380463">
        <w:rPr>
          <w:rFonts w:ascii="Times New Roman" w:hAnsi="Times New Roman" w:cs="Times New Roman"/>
        </w:rPr>
        <w:t>.</w:t>
      </w:r>
      <w:r w:rsidR="009458A0" w:rsidRPr="009458A0">
        <w:rPr>
          <w:rFonts w:ascii="Times New Roman" w:hAnsi="Times New Roman" w:cs="Times New Roman"/>
        </w:rPr>
        <w:t xml:space="preserve"> </w:t>
      </w:r>
      <w:r w:rsidR="00984300">
        <w:rPr>
          <w:rFonts w:ascii="Times New Roman" w:hAnsi="Times New Roman" w:cs="Times New Roman"/>
        </w:rPr>
        <w:t>Let me state at the outset that</w:t>
      </w:r>
      <w:r w:rsidR="00BA0DE8">
        <w:rPr>
          <w:rFonts w:ascii="Times New Roman" w:hAnsi="Times New Roman" w:cs="Times New Roman"/>
        </w:rPr>
        <w:t xml:space="preserve"> this is not intended as a criticism. Take inspiration</w:t>
      </w:r>
      <w:r w:rsidR="003912B8">
        <w:rPr>
          <w:rFonts w:ascii="Times New Roman" w:hAnsi="Times New Roman" w:cs="Times New Roman"/>
        </w:rPr>
        <w:t xml:space="preserve"> wherever you </w:t>
      </w:r>
      <w:r w:rsidR="00553A17">
        <w:rPr>
          <w:rFonts w:ascii="Times New Roman" w:hAnsi="Times New Roman" w:cs="Times New Roman"/>
        </w:rPr>
        <w:t xml:space="preserve">can </w:t>
      </w:r>
      <w:r w:rsidR="003912B8">
        <w:rPr>
          <w:rFonts w:ascii="Times New Roman" w:hAnsi="Times New Roman" w:cs="Times New Roman"/>
        </w:rPr>
        <w:t>find it</w:t>
      </w:r>
      <w:r w:rsidR="00984300">
        <w:rPr>
          <w:rFonts w:ascii="Times New Roman" w:hAnsi="Times New Roman" w:cs="Times New Roman"/>
        </w:rPr>
        <w:t>, I say</w:t>
      </w:r>
      <w:r w:rsidR="00E56AC1">
        <w:rPr>
          <w:rFonts w:ascii="Times New Roman" w:hAnsi="Times New Roman" w:cs="Times New Roman"/>
        </w:rPr>
        <w:t>.</w:t>
      </w:r>
      <w:r w:rsidR="0057363D">
        <w:rPr>
          <w:rFonts w:ascii="Times New Roman" w:hAnsi="Times New Roman" w:cs="Times New Roman"/>
        </w:rPr>
        <w:t xml:space="preserve"> But </w:t>
      </w:r>
      <w:r w:rsidR="00CD29DE">
        <w:rPr>
          <w:rFonts w:ascii="Times New Roman" w:hAnsi="Times New Roman" w:cs="Times New Roman"/>
        </w:rPr>
        <w:t>I do think it is important that we, as readers of these works</w:t>
      </w:r>
      <w:r w:rsidR="00A4333F">
        <w:rPr>
          <w:rFonts w:ascii="Times New Roman" w:hAnsi="Times New Roman" w:cs="Times New Roman"/>
        </w:rPr>
        <w:t>,</w:t>
      </w:r>
      <w:r w:rsidR="00CD29DE">
        <w:rPr>
          <w:rFonts w:ascii="Times New Roman" w:hAnsi="Times New Roman" w:cs="Times New Roman"/>
        </w:rPr>
        <w:t xml:space="preserve"> do not inadvertently </w:t>
      </w:r>
      <w:r w:rsidR="00C84766">
        <w:rPr>
          <w:rFonts w:ascii="Times New Roman" w:hAnsi="Times New Roman" w:cs="Times New Roman"/>
        </w:rPr>
        <w:t>assume</w:t>
      </w:r>
      <w:r w:rsidR="0057363D">
        <w:rPr>
          <w:rFonts w:ascii="Times New Roman" w:hAnsi="Times New Roman" w:cs="Times New Roman"/>
        </w:rPr>
        <w:t xml:space="preserve"> that Dagan</w:t>
      </w:r>
      <w:r w:rsidR="00C75BCA">
        <w:rPr>
          <w:rFonts w:ascii="Times New Roman" w:hAnsi="Times New Roman" w:cs="Times New Roman"/>
        </w:rPr>
        <w:t>’s</w:t>
      </w:r>
      <w:r w:rsidR="0057363D">
        <w:rPr>
          <w:rFonts w:ascii="Times New Roman" w:hAnsi="Times New Roman" w:cs="Times New Roman"/>
        </w:rPr>
        <w:t xml:space="preserve"> </w:t>
      </w:r>
      <w:r w:rsidR="007B07BC">
        <w:rPr>
          <w:rFonts w:ascii="Times New Roman" w:hAnsi="Times New Roman" w:cs="Times New Roman"/>
        </w:rPr>
        <w:t>and Heller</w:t>
      </w:r>
      <w:r w:rsidR="00C75BCA">
        <w:rPr>
          <w:rFonts w:ascii="Times New Roman" w:hAnsi="Times New Roman" w:cs="Times New Roman"/>
        </w:rPr>
        <w:t>’s</w:t>
      </w:r>
      <w:r w:rsidR="007B07BC">
        <w:rPr>
          <w:rFonts w:ascii="Times New Roman" w:hAnsi="Times New Roman" w:cs="Times New Roman"/>
        </w:rPr>
        <w:t xml:space="preserve"> </w:t>
      </w:r>
      <w:r w:rsidR="004D73A2">
        <w:rPr>
          <w:rFonts w:ascii="Times New Roman" w:hAnsi="Times New Roman" w:cs="Times New Roman"/>
        </w:rPr>
        <w:t xml:space="preserve">is a development of, or application of, </w:t>
      </w:r>
      <w:r w:rsidR="00250EBD">
        <w:rPr>
          <w:rFonts w:ascii="Times New Roman" w:hAnsi="Times New Roman" w:cs="Times New Roman"/>
        </w:rPr>
        <w:t xml:space="preserve">Raz’s </w:t>
      </w:r>
      <w:r w:rsidR="00B419C6">
        <w:rPr>
          <w:rFonts w:ascii="Times New Roman" w:hAnsi="Times New Roman" w:cs="Times New Roman"/>
        </w:rPr>
        <w:t xml:space="preserve">own </w:t>
      </w:r>
      <w:r w:rsidR="00530871">
        <w:rPr>
          <w:rFonts w:ascii="Times New Roman" w:hAnsi="Times New Roman" w:cs="Times New Roman"/>
        </w:rPr>
        <w:t xml:space="preserve">characterisation of </w:t>
      </w:r>
      <w:r w:rsidR="00250EBD">
        <w:rPr>
          <w:rFonts w:ascii="Times New Roman" w:hAnsi="Times New Roman" w:cs="Times New Roman"/>
        </w:rPr>
        <w:t xml:space="preserve">personal autonomy. </w:t>
      </w:r>
    </w:p>
    <w:p w14:paraId="021A03CE" w14:textId="36169D05" w:rsidR="009A146D" w:rsidRDefault="009A146D" w:rsidP="008F68D6">
      <w:pPr>
        <w:jc w:val="both"/>
        <w:rPr>
          <w:rFonts w:ascii="Times New Roman" w:hAnsi="Times New Roman" w:cs="Times New Roman"/>
        </w:rPr>
      </w:pPr>
    </w:p>
    <w:p w14:paraId="22C5187C" w14:textId="17B085E9" w:rsidR="009C2213" w:rsidRDefault="000B793C" w:rsidP="008F68D6">
      <w:pPr>
        <w:jc w:val="both"/>
        <w:rPr>
          <w:rFonts w:ascii="Times New Roman" w:hAnsi="Times New Roman" w:cs="Times New Roman"/>
        </w:rPr>
      </w:pPr>
      <w:r>
        <w:rPr>
          <w:rFonts w:ascii="Times New Roman" w:hAnsi="Times New Roman" w:cs="Times New Roman"/>
        </w:rPr>
        <w:t xml:space="preserve">In </w:t>
      </w:r>
      <w:r w:rsidR="00A7273F">
        <w:rPr>
          <w:rFonts w:ascii="Times New Roman" w:hAnsi="Times New Roman" w:cs="Times New Roman"/>
        </w:rPr>
        <w:t xml:space="preserve">all of these writings </w:t>
      </w:r>
      <w:r w:rsidR="000927A3">
        <w:rPr>
          <w:rFonts w:ascii="Times New Roman" w:hAnsi="Times New Roman" w:cs="Times New Roman"/>
        </w:rPr>
        <w:t xml:space="preserve">Dagan </w:t>
      </w:r>
      <w:r w:rsidR="00CF6D18">
        <w:rPr>
          <w:rFonts w:ascii="Times New Roman" w:hAnsi="Times New Roman" w:cs="Times New Roman"/>
        </w:rPr>
        <w:t xml:space="preserve">and Heller </w:t>
      </w:r>
      <w:r w:rsidR="00A7273F">
        <w:rPr>
          <w:rFonts w:ascii="Times New Roman" w:hAnsi="Times New Roman" w:cs="Times New Roman"/>
        </w:rPr>
        <w:t>use the terms ‘autonomy’, ‘self-determination’, and ‘self-authorship’ interchangeably</w:t>
      </w:r>
      <w:r w:rsidR="00D801AC">
        <w:rPr>
          <w:rFonts w:ascii="Times New Roman" w:hAnsi="Times New Roman" w:cs="Times New Roman"/>
        </w:rPr>
        <w:t xml:space="preserve">, but the most common equation is between ‘autonomy’ and </w:t>
      </w:r>
      <w:r w:rsidR="00D915E1">
        <w:rPr>
          <w:rFonts w:ascii="Times New Roman" w:hAnsi="Times New Roman" w:cs="Times New Roman"/>
        </w:rPr>
        <w:t>‘</w:t>
      </w:r>
      <w:r w:rsidR="00D801AC">
        <w:rPr>
          <w:rFonts w:ascii="Times New Roman" w:hAnsi="Times New Roman" w:cs="Times New Roman"/>
        </w:rPr>
        <w:t>self-determination</w:t>
      </w:r>
      <w:r w:rsidR="00D915E1">
        <w:rPr>
          <w:rFonts w:ascii="Times New Roman" w:hAnsi="Times New Roman" w:cs="Times New Roman"/>
        </w:rPr>
        <w:t>’</w:t>
      </w:r>
      <w:r w:rsidR="00D801AC">
        <w:rPr>
          <w:rFonts w:ascii="Times New Roman" w:hAnsi="Times New Roman" w:cs="Times New Roman"/>
        </w:rPr>
        <w:t>.</w:t>
      </w:r>
      <w:r w:rsidR="000B7BAE">
        <w:rPr>
          <w:rStyle w:val="FootnoteReference"/>
          <w:rFonts w:ascii="Times New Roman" w:hAnsi="Times New Roman" w:cs="Times New Roman"/>
        </w:rPr>
        <w:footnoteReference w:id="46"/>
      </w:r>
      <w:r w:rsidR="00A7273F">
        <w:rPr>
          <w:rFonts w:ascii="Times New Roman" w:hAnsi="Times New Roman" w:cs="Times New Roman"/>
        </w:rPr>
        <w:t xml:space="preserve"> </w:t>
      </w:r>
      <w:r w:rsidR="008A59DC">
        <w:rPr>
          <w:rFonts w:ascii="Times New Roman" w:hAnsi="Times New Roman" w:cs="Times New Roman"/>
        </w:rPr>
        <w:t xml:space="preserve">Now authors can use terms in a stipulative fashion, but </w:t>
      </w:r>
      <w:r w:rsidR="001A6B55">
        <w:rPr>
          <w:rFonts w:ascii="Times New Roman" w:hAnsi="Times New Roman" w:cs="Times New Roman"/>
        </w:rPr>
        <w:t xml:space="preserve">it seems to me that </w:t>
      </w:r>
      <w:r w:rsidR="002A451B">
        <w:rPr>
          <w:rFonts w:ascii="Times New Roman" w:hAnsi="Times New Roman" w:cs="Times New Roman"/>
        </w:rPr>
        <w:t xml:space="preserve"> </w:t>
      </w:r>
      <w:r w:rsidR="000927A3">
        <w:rPr>
          <w:rFonts w:ascii="Times New Roman" w:hAnsi="Times New Roman" w:cs="Times New Roman"/>
        </w:rPr>
        <w:t>self-determination</w:t>
      </w:r>
      <w:r w:rsidR="001A6B55">
        <w:rPr>
          <w:rFonts w:ascii="Times New Roman" w:hAnsi="Times New Roman" w:cs="Times New Roman"/>
        </w:rPr>
        <w:t xml:space="preserve"> and autonomy, as commonly understood, mean different things, or at least have different resonances.</w:t>
      </w:r>
      <w:r w:rsidR="007F04DB">
        <w:rPr>
          <w:rFonts w:ascii="Times New Roman" w:hAnsi="Times New Roman" w:cs="Times New Roman"/>
        </w:rPr>
        <w:t xml:space="preserve"> </w:t>
      </w:r>
    </w:p>
    <w:p w14:paraId="55043F8E" w14:textId="77777777" w:rsidR="009C2213" w:rsidRDefault="009C2213" w:rsidP="008F68D6">
      <w:pPr>
        <w:jc w:val="both"/>
        <w:rPr>
          <w:rFonts w:ascii="Times New Roman" w:hAnsi="Times New Roman" w:cs="Times New Roman"/>
        </w:rPr>
      </w:pPr>
    </w:p>
    <w:p w14:paraId="22C18E60" w14:textId="16A380CA" w:rsidR="0078483C" w:rsidRDefault="00926866" w:rsidP="008F68D6">
      <w:pPr>
        <w:jc w:val="both"/>
        <w:rPr>
          <w:rFonts w:ascii="Times New Roman" w:hAnsi="Times New Roman" w:cs="Times New Roman"/>
        </w:rPr>
      </w:pPr>
      <w:r>
        <w:rPr>
          <w:rFonts w:ascii="Times New Roman" w:hAnsi="Times New Roman" w:cs="Times New Roman"/>
        </w:rPr>
        <w:lastRenderedPageBreak/>
        <w:t>Autonomy</w:t>
      </w:r>
      <w:r w:rsidR="00622F07">
        <w:rPr>
          <w:rFonts w:ascii="Times New Roman" w:hAnsi="Times New Roman" w:cs="Times New Roman"/>
        </w:rPr>
        <w:t>, as it figures in Raz’s thinking</w:t>
      </w:r>
      <w:r w:rsidR="00B419C6">
        <w:rPr>
          <w:rFonts w:ascii="Times New Roman" w:hAnsi="Times New Roman" w:cs="Times New Roman"/>
        </w:rPr>
        <w:t>,</w:t>
      </w:r>
      <w:r>
        <w:rPr>
          <w:rFonts w:ascii="Times New Roman" w:hAnsi="Times New Roman" w:cs="Times New Roman"/>
        </w:rPr>
        <w:t xml:space="preserve"> is</w:t>
      </w:r>
      <w:r w:rsidR="00BF74D3">
        <w:rPr>
          <w:rFonts w:ascii="Times New Roman" w:hAnsi="Times New Roman" w:cs="Times New Roman"/>
        </w:rPr>
        <w:t>, as I understand it,</w:t>
      </w:r>
      <w:r>
        <w:rPr>
          <w:rFonts w:ascii="Times New Roman" w:hAnsi="Times New Roman" w:cs="Times New Roman"/>
        </w:rPr>
        <w:t xml:space="preserve"> principally about making free choices </w:t>
      </w:r>
      <w:r w:rsidR="0030115F">
        <w:rPr>
          <w:rFonts w:ascii="Times New Roman" w:hAnsi="Times New Roman" w:cs="Times New Roman"/>
        </w:rPr>
        <w:t xml:space="preserve">from an adequate array of </w:t>
      </w:r>
      <w:r>
        <w:rPr>
          <w:rFonts w:ascii="Times New Roman" w:hAnsi="Times New Roman" w:cs="Times New Roman"/>
        </w:rPr>
        <w:t xml:space="preserve">significant </w:t>
      </w:r>
      <w:r w:rsidR="00EF27E3">
        <w:rPr>
          <w:rFonts w:ascii="Times New Roman" w:hAnsi="Times New Roman" w:cs="Times New Roman"/>
        </w:rPr>
        <w:t xml:space="preserve">and valuable </w:t>
      </w:r>
      <w:r>
        <w:rPr>
          <w:rFonts w:ascii="Times New Roman" w:hAnsi="Times New Roman" w:cs="Times New Roman"/>
        </w:rPr>
        <w:t>options</w:t>
      </w:r>
      <w:r w:rsidR="0030115F">
        <w:rPr>
          <w:rFonts w:ascii="Times New Roman" w:hAnsi="Times New Roman" w:cs="Times New Roman"/>
        </w:rPr>
        <w:t>.</w:t>
      </w:r>
      <w:r w:rsidR="00672338">
        <w:rPr>
          <w:rFonts w:ascii="Times New Roman" w:hAnsi="Times New Roman" w:cs="Times New Roman"/>
        </w:rPr>
        <w:t xml:space="preserve"> </w:t>
      </w:r>
      <w:r w:rsidR="00BF74D3">
        <w:rPr>
          <w:rFonts w:ascii="Times New Roman" w:hAnsi="Times New Roman" w:cs="Times New Roman"/>
        </w:rPr>
        <w:t>It is distinct from self-realisation</w:t>
      </w:r>
      <w:r w:rsidR="006D0A40" w:rsidRPr="006D0A40">
        <w:rPr>
          <w:rFonts w:ascii="Times New Roman" w:hAnsi="Times New Roman" w:cs="Times New Roman"/>
        </w:rPr>
        <w:t xml:space="preserve">, which consists in the development of all the personal capacities, </w:t>
      </w:r>
      <w:proofErr w:type="spellStart"/>
      <w:r w:rsidR="006D0A40" w:rsidRPr="006D0A40">
        <w:rPr>
          <w:rFonts w:ascii="Times New Roman" w:hAnsi="Times New Roman" w:cs="Times New Roman"/>
        </w:rPr>
        <w:t>eg</w:t>
      </w:r>
      <w:proofErr w:type="spellEnd"/>
      <w:r w:rsidR="006D0A40" w:rsidRPr="006D0A40">
        <w:rPr>
          <w:rFonts w:ascii="Times New Roman" w:hAnsi="Times New Roman" w:cs="Times New Roman"/>
        </w:rPr>
        <w:t xml:space="preserve"> talents, that a person has to their fullest extent.</w:t>
      </w:r>
      <w:r w:rsidR="0087747A">
        <w:rPr>
          <w:rStyle w:val="FootnoteReference"/>
          <w:rFonts w:ascii="Times New Roman" w:hAnsi="Times New Roman" w:cs="Times New Roman"/>
        </w:rPr>
        <w:footnoteReference w:id="47"/>
      </w:r>
      <w:r w:rsidR="005F56DD" w:rsidRPr="005F56DD">
        <w:rPr>
          <w:rFonts w:ascii="Times New Roman" w:hAnsi="Times New Roman" w:cs="Times New Roman"/>
        </w:rPr>
        <w:t xml:space="preserve"> </w:t>
      </w:r>
      <w:r w:rsidR="00376B45">
        <w:rPr>
          <w:rFonts w:ascii="Times New Roman" w:hAnsi="Times New Roman" w:cs="Times New Roman"/>
        </w:rPr>
        <w:t>(</w:t>
      </w:r>
      <w:r w:rsidR="005021E8">
        <w:rPr>
          <w:rFonts w:ascii="Times New Roman" w:hAnsi="Times New Roman" w:cs="Times New Roman"/>
        </w:rPr>
        <w:t xml:space="preserve">One hopes, of course, that </w:t>
      </w:r>
      <w:r w:rsidR="003E12CA">
        <w:rPr>
          <w:rFonts w:ascii="Times New Roman" w:hAnsi="Times New Roman" w:cs="Times New Roman"/>
        </w:rPr>
        <w:t>one’s autonomous</w:t>
      </w:r>
      <w:r w:rsidR="005021E8">
        <w:rPr>
          <w:rFonts w:ascii="Times New Roman" w:hAnsi="Times New Roman" w:cs="Times New Roman"/>
        </w:rPr>
        <w:t xml:space="preserve"> choices match one’s talents or interests because otherwise the endeavour may end in failure, or at least not generate much meaning for the individual.</w:t>
      </w:r>
      <w:r w:rsidR="00E43FEF">
        <w:rPr>
          <w:rFonts w:ascii="Times New Roman" w:hAnsi="Times New Roman" w:cs="Times New Roman"/>
        </w:rPr>
        <w:t>)</w:t>
      </w:r>
      <w:r w:rsidR="003E12CA">
        <w:rPr>
          <w:rFonts w:ascii="Times New Roman" w:hAnsi="Times New Roman" w:cs="Times New Roman"/>
        </w:rPr>
        <w:t xml:space="preserve"> </w:t>
      </w:r>
      <w:r w:rsidR="005F56DD">
        <w:rPr>
          <w:rFonts w:ascii="Times New Roman" w:hAnsi="Times New Roman" w:cs="Times New Roman"/>
        </w:rPr>
        <w:t>Raz also distinguishes auto</w:t>
      </w:r>
      <w:r w:rsidR="00E43FEF">
        <w:rPr>
          <w:rFonts w:ascii="Times New Roman" w:hAnsi="Times New Roman" w:cs="Times New Roman"/>
        </w:rPr>
        <w:t>n</w:t>
      </w:r>
      <w:r w:rsidR="005F56DD">
        <w:rPr>
          <w:rFonts w:ascii="Times New Roman" w:hAnsi="Times New Roman" w:cs="Times New Roman"/>
        </w:rPr>
        <w:t>omy from ‘self-creation’, which emphasises the importance of the value of making one’s own choices</w:t>
      </w:r>
      <w:r w:rsidR="006E4651">
        <w:rPr>
          <w:rFonts w:ascii="Times New Roman" w:hAnsi="Times New Roman" w:cs="Times New Roman"/>
        </w:rPr>
        <w:t>, choices</w:t>
      </w:r>
      <w:r w:rsidR="005F56DD">
        <w:rPr>
          <w:rFonts w:ascii="Times New Roman" w:hAnsi="Times New Roman" w:cs="Times New Roman"/>
        </w:rPr>
        <w:t xml:space="preserve"> which, though not altering the independent value of the chosen pursuits, do signify one’s commitment to those pursuits.</w:t>
      </w:r>
      <w:r w:rsidR="005F56DD">
        <w:rPr>
          <w:rStyle w:val="FootnoteReference"/>
          <w:rFonts w:ascii="Times New Roman" w:hAnsi="Times New Roman" w:cs="Times New Roman"/>
        </w:rPr>
        <w:footnoteReference w:id="48"/>
      </w:r>
      <w:r w:rsidR="006D0A40" w:rsidRPr="006D0A40">
        <w:rPr>
          <w:rFonts w:ascii="Times New Roman" w:hAnsi="Times New Roman" w:cs="Times New Roman"/>
        </w:rPr>
        <w:t xml:space="preserve"> </w:t>
      </w:r>
    </w:p>
    <w:p w14:paraId="1D2BB18A" w14:textId="77777777" w:rsidR="0078483C" w:rsidRDefault="0078483C" w:rsidP="008F68D6">
      <w:pPr>
        <w:jc w:val="both"/>
        <w:rPr>
          <w:rFonts w:ascii="Times New Roman" w:hAnsi="Times New Roman" w:cs="Times New Roman"/>
        </w:rPr>
      </w:pPr>
    </w:p>
    <w:p w14:paraId="5FF63525" w14:textId="6029381A" w:rsidR="000D5808" w:rsidRDefault="0078483C" w:rsidP="008F68D6">
      <w:pPr>
        <w:jc w:val="both"/>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iCs/>
        </w:rPr>
        <w:t xml:space="preserve">The Morality of Freedom </w:t>
      </w:r>
      <w:r>
        <w:rPr>
          <w:rFonts w:ascii="Times New Roman" w:hAnsi="Times New Roman" w:cs="Times New Roman"/>
        </w:rPr>
        <w:t>Raz only used the term ‘</w:t>
      </w:r>
      <w:r w:rsidR="00597674">
        <w:rPr>
          <w:rFonts w:ascii="Times New Roman" w:hAnsi="Times New Roman" w:cs="Times New Roman"/>
        </w:rPr>
        <w:t>self-determination</w:t>
      </w:r>
      <w:r>
        <w:rPr>
          <w:rFonts w:ascii="Times New Roman" w:hAnsi="Times New Roman" w:cs="Times New Roman"/>
        </w:rPr>
        <w:t xml:space="preserve">’ in respect of </w:t>
      </w:r>
      <w:r w:rsidR="009F3C0B">
        <w:rPr>
          <w:rFonts w:ascii="Times New Roman" w:hAnsi="Times New Roman" w:cs="Times New Roman"/>
        </w:rPr>
        <w:t>the right of nations to self-determine,</w:t>
      </w:r>
      <w:r w:rsidR="0035773D">
        <w:rPr>
          <w:rStyle w:val="FootnoteReference"/>
          <w:rFonts w:ascii="Times New Roman" w:hAnsi="Times New Roman" w:cs="Times New Roman"/>
        </w:rPr>
        <w:footnoteReference w:id="49"/>
      </w:r>
      <w:r w:rsidR="009F3C0B">
        <w:rPr>
          <w:rFonts w:ascii="Times New Roman" w:hAnsi="Times New Roman" w:cs="Times New Roman"/>
        </w:rPr>
        <w:t xml:space="preserve"> but in so far as it is used of persons, </w:t>
      </w:r>
      <w:r w:rsidR="008151C9">
        <w:rPr>
          <w:rFonts w:ascii="Times New Roman" w:hAnsi="Times New Roman" w:cs="Times New Roman"/>
        </w:rPr>
        <w:t xml:space="preserve">as a general matter it seems to me to </w:t>
      </w:r>
      <w:r w:rsidR="00D452A6">
        <w:rPr>
          <w:rFonts w:ascii="Times New Roman" w:hAnsi="Times New Roman" w:cs="Times New Roman"/>
        </w:rPr>
        <w:t xml:space="preserve">be </w:t>
      </w:r>
      <w:r w:rsidR="008151C9">
        <w:rPr>
          <w:rFonts w:ascii="Times New Roman" w:hAnsi="Times New Roman" w:cs="Times New Roman"/>
        </w:rPr>
        <w:t>concern</w:t>
      </w:r>
      <w:r w:rsidR="00D452A6">
        <w:rPr>
          <w:rFonts w:ascii="Times New Roman" w:hAnsi="Times New Roman" w:cs="Times New Roman"/>
        </w:rPr>
        <w:t>ed</w:t>
      </w:r>
      <w:r w:rsidR="008151C9">
        <w:rPr>
          <w:rFonts w:ascii="Times New Roman" w:hAnsi="Times New Roman" w:cs="Times New Roman"/>
        </w:rPr>
        <w:t xml:space="preserve"> with </w:t>
      </w:r>
      <w:r w:rsidR="00597674">
        <w:rPr>
          <w:rFonts w:ascii="Times New Roman" w:hAnsi="Times New Roman" w:cs="Times New Roman"/>
        </w:rPr>
        <w:t>the power to shape one’s world in many ways</w:t>
      </w:r>
      <w:r w:rsidR="008151C9">
        <w:rPr>
          <w:rFonts w:ascii="Times New Roman" w:hAnsi="Times New Roman" w:cs="Times New Roman"/>
        </w:rPr>
        <w:t xml:space="preserve"> besides making autonomous choices</w:t>
      </w:r>
      <w:r w:rsidR="00F546E9">
        <w:rPr>
          <w:rFonts w:ascii="Times New Roman" w:hAnsi="Times New Roman" w:cs="Times New Roman"/>
        </w:rPr>
        <w:t xml:space="preserve">, including </w:t>
      </w:r>
      <w:r w:rsidR="00407E6A">
        <w:rPr>
          <w:rFonts w:ascii="Times New Roman" w:hAnsi="Times New Roman" w:cs="Times New Roman"/>
        </w:rPr>
        <w:t xml:space="preserve">both enhancing one’s own capacities </w:t>
      </w:r>
      <w:r w:rsidR="0044423D">
        <w:rPr>
          <w:rFonts w:ascii="Times New Roman" w:hAnsi="Times New Roman" w:cs="Times New Roman"/>
        </w:rPr>
        <w:t xml:space="preserve">and in </w:t>
      </w:r>
      <w:r w:rsidR="00F546E9">
        <w:rPr>
          <w:rFonts w:ascii="Times New Roman" w:hAnsi="Times New Roman" w:cs="Times New Roman"/>
        </w:rPr>
        <w:t xml:space="preserve">the </w:t>
      </w:r>
      <w:r w:rsidR="00F546E9">
        <w:rPr>
          <w:rFonts w:ascii="Times New Roman" w:hAnsi="Times New Roman" w:cs="Times New Roman"/>
          <w:i/>
          <w:iCs/>
        </w:rPr>
        <w:t>creation</w:t>
      </w:r>
      <w:r w:rsidR="00F546E9">
        <w:rPr>
          <w:rFonts w:ascii="Times New Roman" w:hAnsi="Times New Roman" w:cs="Times New Roman"/>
        </w:rPr>
        <w:t xml:space="preserve"> of new meaningful options and endeavours</w:t>
      </w:r>
      <w:r w:rsidR="0044423D">
        <w:rPr>
          <w:rFonts w:ascii="Times New Roman" w:hAnsi="Times New Roman" w:cs="Times New Roman"/>
        </w:rPr>
        <w:t xml:space="preserve"> that specifically reflect one’s own </w:t>
      </w:r>
      <w:r w:rsidR="00777C41">
        <w:rPr>
          <w:rFonts w:ascii="Times New Roman" w:hAnsi="Times New Roman" w:cs="Times New Roman"/>
        </w:rPr>
        <w:t>capacities</w:t>
      </w:r>
      <w:r w:rsidR="00F546E9">
        <w:rPr>
          <w:rFonts w:ascii="Times New Roman" w:hAnsi="Times New Roman" w:cs="Times New Roman"/>
        </w:rPr>
        <w:t>.</w:t>
      </w:r>
      <w:r w:rsidR="003353FA">
        <w:rPr>
          <w:rFonts w:ascii="Times New Roman" w:hAnsi="Times New Roman" w:cs="Times New Roman"/>
        </w:rPr>
        <w:t xml:space="preserve"> It seems to reflect, in other words, something close to both self-realisation and self-creation.</w:t>
      </w:r>
      <w:r w:rsidR="00243A62" w:rsidRPr="00243A62">
        <w:rPr>
          <w:rFonts w:ascii="Times New Roman" w:hAnsi="Times New Roman" w:cs="Times New Roman"/>
        </w:rPr>
        <w:t xml:space="preserve"> </w:t>
      </w:r>
      <w:r w:rsidR="00243A62">
        <w:rPr>
          <w:rFonts w:ascii="Times New Roman" w:hAnsi="Times New Roman" w:cs="Times New Roman"/>
        </w:rPr>
        <w:t>‘Self-determination’ also sounds</w:t>
      </w:r>
      <w:r w:rsidR="00994DF1">
        <w:rPr>
          <w:rFonts w:ascii="Times New Roman" w:hAnsi="Times New Roman" w:cs="Times New Roman"/>
        </w:rPr>
        <w:t xml:space="preserve"> to </w:t>
      </w:r>
      <w:r w:rsidR="00243A62">
        <w:rPr>
          <w:rFonts w:ascii="Times New Roman" w:hAnsi="Times New Roman" w:cs="Times New Roman"/>
        </w:rPr>
        <w:t xml:space="preserve">me </w:t>
      </w:r>
      <w:r w:rsidR="00994DF1">
        <w:rPr>
          <w:rFonts w:ascii="Times New Roman" w:hAnsi="Times New Roman" w:cs="Times New Roman"/>
        </w:rPr>
        <w:t xml:space="preserve">to be related </w:t>
      </w:r>
      <w:r w:rsidR="00243A62">
        <w:rPr>
          <w:rFonts w:ascii="Times New Roman" w:hAnsi="Times New Roman" w:cs="Times New Roman"/>
        </w:rPr>
        <w:t>to ‘the value of enhanced control of one’s life’ which Raz adverts to above</w:t>
      </w:r>
      <w:r w:rsidR="00243A62">
        <w:rPr>
          <w:rStyle w:val="FootnoteReference"/>
          <w:rFonts w:ascii="Times New Roman" w:hAnsi="Times New Roman" w:cs="Times New Roman"/>
        </w:rPr>
        <w:footnoteReference w:id="50"/>
      </w:r>
      <w:r w:rsidR="00243A62">
        <w:rPr>
          <w:rFonts w:ascii="Times New Roman" w:hAnsi="Times New Roman" w:cs="Times New Roman"/>
        </w:rPr>
        <w:t xml:space="preserve"> when discussing </w:t>
      </w:r>
      <w:r w:rsidR="00CD6B88">
        <w:rPr>
          <w:rFonts w:ascii="Times New Roman" w:hAnsi="Times New Roman" w:cs="Times New Roman"/>
        </w:rPr>
        <w:t xml:space="preserve">this </w:t>
      </w:r>
      <w:r w:rsidR="00243A62">
        <w:rPr>
          <w:rFonts w:ascii="Times New Roman" w:hAnsi="Times New Roman" w:cs="Times New Roman"/>
        </w:rPr>
        <w:t xml:space="preserve">as a </w:t>
      </w:r>
      <w:r w:rsidR="00243A62" w:rsidRPr="00CD6B88">
        <w:rPr>
          <w:rFonts w:ascii="Times New Roman" w:hAnsi="Times New Roman" w:cs="Times New Roman"/>
        </w:rPr>
        <w:t>generic feature</w:t>
      </w:r>
      <w:r w:rsidR="00243A62">
        <w:rPr>
          <w:rFonts w:ascii="Times New Roman" w:hAnsi="Times New Roman" w:cs="Times New Roman"/>
          <w:i/>
          <w:iCs/>
        </w:rPr>
        <w:t xml:space="preserve"> </w:t>
      </w:r>
      <w:r w:rsidR="00243A62">
        <w:rPr>
          <w:rFonts w:ascii="Times New Roman" w:hAnsi="Times New Roman" w:cs="Times New Roman"/>
        </w:rPr>
        <w:t>of the interpersonal moral relations that contract embodies</w:t>
      </w:r>
      <w:r w:rsidR="00F2027A">
        <w:rPr>
          <w:rFonts w:ascii="Times New Roman" w:hAnsi="Times New Roman" w:cs="Times New Roman"/>
        </w:rPr>
        <w:t>. A life</w:t>
      </w:r>
      <w:r w:rsidR="003D5493">
        <w:rPr>
          <w:rFonts w:ascii="Times New Roman" w:hAnsi="Times New Roman" w:cs="Times New Roman"/>
        </w:rPr>
        <w:t xml:space="preserve"> more self-determined in this sense is </w:t>
      </w:r>
      <w:r w:rsidR="00F2027A">
        <w:rPr>
          <w:rFonts w:ascii="Times New Roman" w:hAnsi="Times New Roman" w:cs="Times New Roman"/>
        </w:rPr>
        <w:t>not a life more</w:t>
      </w:r>
      <w:r w:rsidR="003D5493">
        <w:rPr>
          <w:rFonts w:ascii="Times New Roman" w:hAnsi="Times New Roman" w:cs="Times New Roman"/>
        </w:rPr>
        <w:t xml:space="preserve"> autonomous in Raz’s sense, except in so far as we are concerned </w:t>
      </w:r>
      <w:r w:rsidR="000149F5">
        <w:rPr>
          <w:rFonts w:ascii="Times New Roman" w:hAnsi="Times New Roman" w:cs="Times New Roman"/>
        </w:rPr>
        <w:t xml:space="preserve">only </w:t>
      </w:r>
      <w:r w:rsidR="003D5493">
        <w:rPr>
          <w:rFonts w:ascii="Times New Roman" w:hAnsi="Times New Roman" w:cs="Times New Roman"/>
        </w:rPr>
        <w:t>with the independence</w:t>
      </w:r>
      <w:r w:rsidR="000149F5">
        <w:rPr>
          <w:rFonts w:ascii="Times New Roman" w:hAnsi="Times New Roman" w:cs="Times New Roman"/>
        </w:rPr>
        <w:t xml:space="preserve"> condition for autonomy</w:t>
      </w:r>
      <w:r w:rsidR="003D5493">
        <w:rPr>
          <w:rFonts w:ascii="Times New Roman" w:hAnsi="Times New Roman" w:cs="Times New Roman"/>
        </w:rPr>
        <w:t>: a highly self-determined person in the sense of self-determination I have described may be more independent in having created for herself a wider realm of freedom</w:t>
      </w:r>
      <w:r w:rsidR="002E52B5">
        <w:rPr>
          <w:rFonts w:ascii="Times New Roman" w:hAnsi="Times New Roman" w:cs="Times New Roman"/>
        </w:rPr>
        <w:t xml:space="preserve"> from the influences of others.</w:t>
      </w:r>
    </w:p>
    <w:p w14:paraId="7F871CED" w14:textId="7D6DAB5A" w:rsidR="004C503A" w:rsidRDefault="004C503A" w:rsidP="008F68D6">
      <w:pPr>
        <w:jc w:val="both"/>
        <w:rPr>
          <w:rFonts w:ascii="Times New Roman" w:hAnsi="Times New Roman" w:cs="Times New Roman"/>
        </w:rPr>
      </w:pPr>
    </w:p>
    <w:p w14:paraId="73539441" w14:textId="29B2BA35" w:rsidR="004C503A" w:rsidRDefault="004C503A" w:rsidP="008F68D6">
      <w:pPr>
        <w:jc w:val="both"/>
        <w:rPr>
          <w:rFonts w:ascii="Times New Roman" w:hAnsi="Times New Roman" w:cs="Times New Roman"/>
        </w:rPr>
      </w:pPr>
      <w:r>
        <w:rPr>
          <w:rFonts w:ascii="Times New Roman" w:hAnsi="Times New Roman" w:cs="Times New Roman"/>
        </w:rPr>
        <w:t>The last t</w:t>
      </w:r>
      <w:r w:rsidR="00901AEF">
        <w:rPr>
          <w:rFonts w:ascii="Times New Roman" w:hAnsi="Times New Roman" w:cs="Times New Roman"/>
        </w:rPr>
        <w:t>w</w:t>
      </w:r>
      <w:r>
        <w:rPr>
          <w:rFonts w:ascii="Times New Roman" w:hAnsi="Times New Roman" w:cs="Times New Roman"/>
        </w:rPr>
        <w:t>o paragraphs are offered just in order to gain a bit of focus</w:t>
      </w:r>
      <w:r w:rsidR="00BC536C">
        <w:rPr>
          <w:rFonts w:ascii="Times New Roman" w:hAnsi="Times New Roman" w:cs="Times New Roman"/>
        </w:rPr>
        <w:t>, to better frame Dagan</w:t>
      </w:r>
      <w:r w:rsidR="007F7BFA">
        <w:rPr>
          <w:rFonts w:ascii="Times New Roman" w:hAnsi="Times New Roman" w:cs="Times New Roman"/>
        </w:rPr>
        <w:t>’s</w:t>
      </w:r>
      <w:r w:rsidR="00BC536C">
        <w:rPr>
          <w:rFonts w:ascii="Times New Roman" w:hAnsi="Times New Roman" w:cs="Times New Roman"/>
        </w:rPr>
        <w:t xml:space="preserve"> and Heller’s own characterisation of autonomy/self-determination. They write: </w:t>
      </w:r>
    </w:p>
    <w:p w14:paraId="35230FFF" w14:textId="1D297265" w:rsidR="00BC536C" w:rsidRDefault="00BC536C" w:rsidP="008F68D6">
      <w:pPr>
        <w:jc w:val="both"/>
        <w:rPr>
          <w:rFonts w:ascii="Times New Roman" w:hAnsi="Times New Roman" w:cs="Times New Roman"/>
        </w:rPr>
      </w:pPr>
    </w:p>
    <w:p w14:paraId="5A164E7A" w14:textId="16BB7A61" w:rsidR="00BC536C" w:rsidRDefault="009521D5" w:rsidP="009521D5">
      <w:pPr>
        <w:ind w:left="720"/>
        <w:jc w:val="both"/>
        <w:rPr>
          <w:rFonts w:ascii="Times New Roman" w:hAnsi="Times New Roman" w:cs="Times New Roman"/>
        </w:rPr>
      </w:pPr>
      <w:r>
        <w:rPr>
          <w:rFonts w:ascii="Times New Roman" w:hAnsi="Times New Roman" w:cs="Times New Roman"/>
        </w:rPr>
        <w:t xml:space="preserve">Self-determination </w:t>
      </w:r>
      <w:r w:rsidR="000A488E">
        <w:rPr>
          <w:rFonts w:ascii="Times New Roman" w:hAnsi="Times New Roman" w:cs="Times New Roman"/>
        </w:rPr>
        <w:t>represents a rich conception of freedom</w:t>
      </w:r>
      <w:r w:rsidR="002C4275">
        <w:rPr>
          <w:rFonts w:ascii="Times New Roman" w:hAnsi="Times New Roman" w:cs="Times New Roman"/>
        </w:rPr>
        <w:t xml:space="preserve">; its value makes our independence worthwhile: we are all entitled to be free from coercion because this freedom is necessary </w:t>
      </w:r>
      <w:r w:rsidR="008F5CBD">
        <w:rPr>
          <w:rFonts w:ascii="Times New Roman" w:hAnsi="Times New Roman" w:cs="Times New Roman"/>
        </w:rPr>
        <w:t>for each of us if we are to write by him- or herself the (separate) story of our (separate) lives.</w:t>
      </w:r>
    </w:p>
    <w:p w14:paraId="31528E91" w14:textId="77777777" w:rsidR="00D81B0B" w:rsidRDefault="00D81B0B" w:rsidP="009521D5">
      <w:pPr>
        <w:ind w:left="720"/>
        <w:jc w:val="both"/>
        <w:rPr>
          <w:rFonts w:ascii="Times New Roman" w:hAnsi="Times New Roman" w:cs="Times New Roman"/>
        </w:rPr>
      </w:pPr>
    </w:p>
    <w:p w14:paraId="005B9F0F" w14:textId="4F3D54BB" w:rsidR="006D4D99" w:rsidRDefault="006D4D99" w:rsidP="009521D5">
      <w:pPr>
        <w:ind w:left="720"/>
        <w:jc w:val="both"/>
        <w:rPr>
          <w:rFonts w:ascii="Times New Roman" w:hAnsi="Times New Roman" w:cs="Times New Roman"/>
        </w:rPr>
      </w:pPr>
      <w:r>
        <w:rPr>
          <w:rFonts w:ascii="Times New Roman" w:hAnsi="Times New Roman" w:cs="Times New Roman"/>
        </w:rPr>
        <w:t xml:space="preserve">This why liberals insist that an individual person is free not merely </w:t>
      </w:r>
      <w:r w:rsidR="000E5BB4">
        <w:rPr>
          <w:rFonts w:ascii="Times New Roman" w:hAnsi="Times New Roman" w:cs="Times New Roman"/>
        </w:rPr>
        <w:t>in the formal sense of not being subordinated to the choices of another, but also in the more robust sense of being able to make</w:t>
      </w:r>
      <w:r w:rsidR="009578BB">
        <w:rPr>
          <w:rFonts w:ascii="Times New Roman" w:hAnsi="Times New Roman" w:cs="Times New Roman"/>
        </w:rPr>
        <w:t xml:space="preserve"> meaningful choices about how his or her life should go. Free individuals, John Rawls writes</w:t>
      </w:r>
      <w:r w:rsidR="00275C38">
        <w:rPr>
          <w:rFonts w:ascii="Times New Roman" w:hAnsi="Times New Roman" w:cs="Times New Roman"/>
        </w:rPr>
        <w:t>, act on their capacity ‘to have, to revise, and rationally to pursue</w:t>
      </w:r>
      <w:r w:rsidR="003C0F3F">
        <w:rPr>
          <w:rFonts w:ascii="Times New Roman" w:hAnsi="Times New Roman" w:cs="Times New Roman"/>
        </w:rPr>
        <w:t xml:space="preserve"> a conception of the good’.</w:t>
      </w:r>
      <w:r w:rsidR="003C0F3F">
        <w:rPr>
          <w:rStyle w:val="FootnoteReference"/>
          <w:rFonts w:ascii="Times New Roman" w:hAnsi="Times New Roman" w:cs="Times New Roman"/>
        </w:rPr>
        <w:footnoteReference w:id="51"/>
      </w:r>
    </w:p>
    <w:p w14:paraId="7EE8633F" w14:textId="34345582" w:rsidR="008F3D95" w:rsidRDefault="008F3D95" w:rsidP="008F3D95">
      <w:pPr>
        <w:jc w:val="both"/>
        <w:rPr>
          <w:rFonts w:ascii="Times New Roman" w:hAnsi="Times New Roman" w:cs="Times New Roman"/>
        </w:rPr>
      </w:pPr>
    </w:p>
    <w:p w14:paraId="56C12C2D" w14:textId="2E2D48E7" w:rsidR="008F3D95" w:rsidRDefault="002A68B8" w:rsidP="008F3D95">
      <w:pPr>
        <w:jc w:val="both"/>
        <w:rPr>
          <w:rFonts w:ascii="Times New Roman" w:hAnsi="Times New Roman" w:cs="Times New Roman"/>
        </w:rPr>
      </w:pPr>
      <w:r>
        <w:rPr>
          <w:rFonts w:ascii="Times New Roman" w:hAnsi="Times New Roman" w:cs="Times New Roman"/>
        </w:rPr>
        <w:t xml:space="preserve">Dagan and Heller also emphasise the </w:t>
      </w:r>
      <w:r w:rsidR="00E67B63">
        <w:rPr>
          <w:rFonts w:ascii="Times New Roman" w:hAnsi="Times New Roman" w:cs="Times New Roman"/>
        </w:rPr>
        <w:t xml:space="preserve">capacity to </w:t>
      </w:r>
      <w:r>
        <w:rPr>
          <w:rFonts w:ascii="Times New Roman" w:hAnsi="Times New Roman" w:cs="Times New Roman"/>
        </w:rPr>
        <w:t>‘re-writ</w:t>
      </w:r>
      <w:r w:rsidR="00E67B63">
        <w:rPr>
          <w:rFonts w:ascii="Times New Roman" w:hAnsi="Times New Roman" w:cs="Times New Roman"/>
        </w:rPr>
        <w:t>e</w:t>
      </w:r>
      <w:r>
        <w:rPr>
          <w:rFonts w:ascii="Times New Roman" w:hAnsi="Times New Roman" w:cs="Times New Roman"/>
        </w:rPr>
        <w:t xml:space="preserve">’ </w:t>
      </w:r>
      <w:r w:rsidR="00E67B63">
        <w:rPr>
          <w:rFonts w:ascii="Times New Roman" w:hAnsi="Times New Roman" w:cs="Times New Roman"/>
        </w:rPr>
        <w:t>the story of one’s life:</w:t>
      </w:r>
    </w:p>
    <w:p w14:paraId="1A52A468" w14:textId="6F79DF21" w:rsidR="00E67B63" w:rsidRDefault="00E67B63" w:rsidP="008F3D95">
      <w:pPr>
        <w:jc w:val="both"/>
        <w:rPr>
          <w:rFonts w:ascii="Times New Roman" w:hAnsi="Times New Roman" w:cs="Times New Roman"/>
        </w:rPr>
      </w:pPr>
    </w:p>
    <w:p w14:paraId="3171DB6B" w14:textId="36FDBD7C" w:rsidR="00E67B63" w:rsidRPr="00D31B11" w:rsidRDefault="00E67B63" w:rsidP="00E67B63">
      <w:pPr>
        <w:ind w:left="720"/>
        <w:jc w:val="both"/>
        <w:rPr>
          <w:rFonts w:ascii="Times New Roman" w:hAnsi="Times New Roman" w:cs="Times New Roman"/>
        </w:rPr>
      </w:pPr>
      <w:r>
        <w:rPr>
          <w:rFonts w:ascii="Times New Roman" w:hAnsi="Times New Roman" w:cs="Times New Roman"/>
        </w:rPr>
        <w:t xml:space="preserve">Self-authorship, after all, stands for our rights </w:t>
      </w:r>
      <w:r w:rsidR="00D31B11">
        <w:rPr>
          <w:rFonts w:ascii="Times New Roman" w:hAnsi="Times New Roman" w:cs="Times New Roman"/>
        </w:rPr>
        <w:t xml:space="preserve">to write and </w:t>
      </w:r>
      <w:r w:rsidR="00D31B11">
        <w:rPr>
          <w:rFonts w:ascii="Times New Roman" w:hAnsi="Times New Roman" w:cs="Times New Roman"/>
          <w:i/>
          <w:iCs/>
        </w:rPr>
        <w:t>re</w:t>
      </w:r>
      <w:r w:rsidR="00D31B11">
        <w:rPr>
          <w:rFonts w:ascii="Times New Roman" w:hAnsi="Times New Roman" w:cs="Times New Roman"/>
        </w:rPr>
        <w:t>-write the story of our life.</w:t>
      </w:r>
      <w:r w:rsidR="00D81B0B">
        <w:rPr>
          <w:rStyle w:val="FootnoteReference"/>
          <w:rFonts w:ascii="Times New Roman" w:hAnsi="Times New Roman" w:cs="Times New Roman"/>
        </w:rPr>
        <w:footnoteReference w:id="52"/>
      </w:r>
    </w:p>
    <w:p w14:paraId="57EC5F05" w14:textId="601E41F1" w:rsidR="000D5808" w:rsidRDefault="000D5808" w:rsidP="008F68D6">
      <w:pPr>
        <w:jc w:val="both"/>
        <w:rPr>
          <w:rFonts w:ascii="Times New Roman" w:hAnsi="Times New Roman" w:cs="Times New Roman"/>
        </w:rPr>
      </w:pPr>
    </w:p>
    <w:p w14:paraId="03D4B0A4" w14:textId="35A87413" w:rsidR="008842E9" w:rsidRDefault="00126E44" w:rsidP="008F68D6">
      <w:pPr>
        <w:jc w:val="both"/>
        <w:rPr>
          <w:rFonts w:ascii="Times New Roman" w:hAnsi="Times New Roman" w:cs="Times New Roman"/>
        </w:rPr>
      </w:pPr>
      <w:r>
        <w:rPr>
          <w:rFonts w:ascii="Times New Roman" w:hAnsi="Times New Roman" w:cs="Times New Roman"/>
        </w:rPr>
        <w:t xml:space="preserve">So in </w:t>
      </w:r>
      <w:r w:rsidR="00F419AF">
        <w:rPr>
          <w:rFonts w:ascii="Times New Roman" w:hAnsi="Times New Roman" w:cs="Times New Roman"/>
        </w:rPr>
        <w:t>explaining autonomy/self-determination in this way, Dagan and Heller do not cite Raz</w:t>
      </w:r>
      <w:r>
        <w:rPr>
          <w:rFonts w:ascii="Times New Roman" w:hAnsi="Times New Roman" w:cs="Times New Roman"/>
        </w:rPr>
        <w:t>, but Rawls.</w:t>
      </w:r>
      <w:r w:rsidR="00901AEF">
        <w:rPr>
          <w:rFonts w:ascii="Times New Roman" w:hAnsi="Times New Roman" w:cs="Times New Roman"/>
        </w:rPr>
        <w:t xml:space="preserve"> </w:t>
      </w:r>
      <w:r w:rsidR="00414EE8">
        <w:rPr>
          <w:rFonts w:ascii="Times New Roman" w:hAnsi="Times New Roman" w:cs="Times New Roman"/>
        </w:rPr>
        <w:t>T</w:t>
      </w:r>
      <w:r w:rsidR="00901AEF">
        <w:rPr>
          <w:rFonts w:ascii="Times New Roman" w:hAnsi="Times New Roman" w:cs="Times New Roman"/>
        </w:rPr>
        <w:t>he</w:t>
      </w:r>
      <w:r w:rsidR="00773453">
        <w:rPr>
          <w:rFonts w:ascii="Times New Roman" w:hAnsi="Times New Roman" w:cs="Times New Roman"/>
        </w:rPr>
        <w:t>ir</w:t>
      </w:r>
      <w:r w:rsidR="00901AEF">
        <w:rPr>
          <w:rFonts w:ascii="Times New Roman" w:hAnsi="Times New Roman" w:cs="Times New Roman"/>
        </w:rPr>
        <w:t xml:space="preserve"> rel</w:t>
      </w:r>
      <w:r w:rsidR="00773453">
        <w:rPr>
          <w:rFonts w:ascii="Times New Roman" w:hAnsi="Times New Roman" w:cs="Times New Roman"/>
        </w:rPr>
        <w:t>iance</w:t>
      </w:r>
      <w:r w:rsidR="00901AEF">
        <w:rPr>
          <w:rFonts w:ascii="Times New Roman" w:hAnsi="Times New Roman" w:cs="Times New Roman"/>
        </w:rPr>
        <w:t xml:space="preserve"> upon Raz</w:t>
      </w:r>
      <w:r w:rsidR="00773453">
        <w:rPr>
          <w:rFonts w:ascii="Times New Roman" w:hAnsi="Times New Roman" w:cs="Times New Roman"/>
        </w:rPr>
        <w:t xml:space="preserve"> is found in the following passage</w:t>
      </w:r>
      <w:r w:rsidR="00F92AA2">
        <w:rPr>
          <w:rFonts w:ascii="Times New Roman" w:hAnsi="Times New Roman" w:cs="Times New Roman"/>
        </w:rPr>
        <w:t>s</w:t>
      </w:r>
      <w:r w:rsidR="00773453">
        <w:rPr>
          <w:rFonts w:ascii="Times New Roman" w:hAnsi="Times New Roman" w:cs="Times New Roman"/>
        </w:rPr>
        <w:t>:</w:t>
      </w:r>
    </w:p>
    <w:p w14:paraId="0D6AD321" w14:textId="563256F4" w:rsidR="00773453" w:rsidRDefault="00773453" w:rsidP="008F68D6">
      <w:pPr>
        <w:jc w:val="both"/>
        <w:rPr>
          <w:rFonts w:ascii="Times New Roman" w:hAnsi="Times New Roman" w:cs="Times New Roman"/>
        </w:rPr>
      </w:pPr>
    </w:p>
    <w:p w14:paraId="643EB0CB" w14:textId="2F82FBF8" w:rsidR="00773453" w:rsidRDefault="00811763" w:rsidP="00773453">
      <w:pPr>
        <w:ind w:left="720"/>
        <w:jc w:val="both"/>
        <w:rPr>
          <w:rFonts w:ascii="Times New Roman" w:hAnsi="Times New Roman" w:cs="Times New Roman"/>
        </w:rPr>
      </w:pPr>
      <w:r>
        <w:rPr>
          <w:rFonts w:ascii="Times New Roman" w:hAnsi="Times New Roman" w:cs="Times New Roman"/>
        </w:rPr>
        <w:t xml:space="preserve">The path from </w:t>
      </w:r>
      <w:r w:rsidR="004C676F">
        <w:rPr>
          <w:rFonts w:ascii="Times New Roman" w:hAnsi="Times New Roman" w:cs="Times New Roman"/>
        </w:rPr>
        <w:t xml:space="preserve">the political philosophy of autonomy to its working out in contract law takes a few steps. Perhaps the simplest and most direct route is by </w:t>
      </w:r>
      <w:r w:rsidR="00CA51AE">
        <w:rPr>
          <w:rFonts w:ascii="Times New Roman" w:hAnsi="Times New Roman" w:cs="Times New Roman"/>
        </w:rPr>
        <w:t xml:space="preserve">reference to work by Joseph Raz (drawn from his philosophical work, not his contract theory, which proves </w:t>
      </w:r>
      <w:r w:rsidR="00D76207">
        <w:rPr>
          <w:rFonts w:ascii="Times New Roman" w:hAnsi="Times New Roman" w:cs="Times New Roman"/>
        </w:rPr>
        <w:t xml:space="preserve">to be off the mark). In particular, we develop two points from Raz’s political </w:t>
      </w:r>
      <w:r w:rsidR="00462426">
        <w:rPr>
          <w:rFonts w:ascii="Times New Roman" w:hAnsi="Times New Roman" w:cs="Times New Roman"/>
        </w:rPr>
        <w:t>philosophy wit</w:t>
      </w:r>
      <w:r w:rsidR="003157ED">
        <w:rPr>
          <w:rFonts w:ascii="Times New Roman" w:hAnsi="Times New Roman" w:cs="Times New Roman"/>
        </w:rPr>
        <w:t>h particular usefulness for contract theory: (1) to be free, individuals need meaningful choice</w:t>
      </w:r>
      <w:r w:rsidR="005F0202">
        <w:rPr>
          <w:rFonts w:ascii="Times New Roman" w:hAnsi="Times New Roman" w:cs="Times New Roman"/>
        </w:rPr>
        <w:t xml:space="preserve"> and (2) states have a necessary role in supporting the availability of valuable options.</w:t>
      </w:r>
      <w:r w:rsidR="007122A3">
        <w:rPr>
          <w:rStyle w:val="FootnoteReference"/>
          <w:rFonts w:ascii="Times New Roman" w:hAnsi="Times New Roman" w:cs="Times New Roman"/>
        </w:rPr>
        <w:footnoteReference w:id="53"/>
      </w:r>
    </w:p>
    <w:p w14:paraId="4F092479" w14:textId="2CC90575" w:rsidR="007122A3" w:rsidRDefault="007122A3" w:rsidP="00773453">
      <w:pPr>
        <w:ind w:left="720"/>
        <w:jc w:val="both"/>
        <w:rPr>
          <w:rFonts w:ascii="Times New Roman" w:hAnsi="Times New Roman" w:cs="Times New Roman"/>
        </w:rPr>
      </w:pPr>
    </w:p>
    <w:p w14:paraId="36E328A1" w14:textId="33E0714A" w:rsidR="007122A3" w:rsidRDefault="00A7215F" w:rsidP="00773453">
      <w:pPr>
        <w:ind w:left="720"/>
        <w:jc w:val="both"/>
        <w:rPr>
          <w:rFonts w:ascii="Times New Roman" w:hAnsi="Times New Roman" w:cs="Times New Roman"/>
        </w:rPr>
      </w:pPr>
      <w:r>
        <w:rPr>
          <w:rFonts w:ascii="Times New Roman" w:hAnsi="Times New Roman" w:cs="Times New Roman"/>
        </w:rPr>
        <w:t xml:space="preserve">We agree with [Raz] that freedom requires individuals to be able to choose from </w:t>
      </w:r>
      <w:r w:rsidR="00224409">
        <w:rPr>
          <w:rFonts w:ascii="Times New Roman" w:hAnsi="Times New Roman" w:cs="Times New Roman"/>
        </w:rPr>
        <w:t>among options they deem valuable</w:t>
      </w:r>
      <w:r w:rsidR="00B80C43">
        <w:rPr>
          <w:rFonts w:ascii="Times New Roman" w:hAnsi="Times New Roman" w:cs="Times New Roman"/>
        </w:rPr>
        <w:t>.</w:t>
      </w:r>
      <w:r w:rsidR="000F3EE0">
        <w:rPr>
          <w:rFonts w:ascii="Times New Roman" w:hAnsi="Times New Roman" w:cs="Times New Roman"/>
        </w:rPr>
        <w:t xml:space="preserve"> The idea of autonomy—that people should to some degree</w:t>
      </w:r>
      <w:r w:rsidR="00C56E1B">
        <w:rPr>
          <w:rFonts w:ascii="Times New Roman" w:hAnsi="Times New Roman" w:cs="Times New Roman"/>
        </w:rPr>
        <w:t xml:space="preserve"> be the authors of their own lives—requires not </w:t>
      </w:r>
      <w:r w:rsidR="00B87E52">
        <w:rPr>
          <w:rFonts w:ascii="Times New Roman" w:hAnsi="Times New Roman" w:cs="Times New Roman"/>
        </w:rPr>
        <w:t>only appropriate mental abilities and independence, but also “an adequate</w:t>
      </w:r>
      <w:r w:rsidR="00840440">
        <w:rPr>
          <w:rFonts w:ascii="Times New Roman" w:hAnsi="Times New Roman" w:cs="Times New Roman"/>
        </w:rPr>
        <w:t xml:space="preserve"> range of options.” For choice to be effective</w:t>
      </w:r>
      <w:r w:rsidR="00AA1706">
        <w:rPr>
          <w:rFonts w:ascii="Times New Roman" w:hAnsi="Times New Roman" w:cs="Times New Roman"/>
        </w:rPr>
        <w:t xml:space="preserve">, for autonomy to be meaningful there must be (other things being equal) </w:t>
      </w:r>
      <w:r w:rsidR="004E3F57">
        <w:rPr>
          <w:rFonts w:ascii="Times New Roman" w:hAnsi="Times New Roman" w:cs="Times New Roman"/>
        </w:rPr>
        <w:t>“more valuable options that can be chosen, and they must be significantly different</w:t>
      </w:r>
      <w:r w:rsidR="00B17DA7">
        <w:rPr>
          <w:rFonts w:ascii="Times New Roman" w:hAnsi="Times New Roman" w:cs="Times New Roman"/>
        </w:rPr>
        <w:t xml:space="preserve">,” so that choices involve </w:t>
      </w:r>
      <w:r w:rsidR="003A4C78">
        <w:rPr>
          <w:rFonts w:ascii="Times New Roman" w:hAnsi="Times New Roman" w:cs="Times New Roman"/>
        </w:rPr>
        <w:t>“</w:t>
      </w:r>
      <w:proofErr w:type="spellStart"/>
      <w:r w:rsidR="003A4C78">
        <w:rPr>
          <w:rFonts w:ascii="Times New Roman" w:hAnsi="Times New Roman" w:cs="Times New Roman"/>
        </w:rPr>
        <w:t>tradeoffs</w:t>
      </w:r>
      <w:proofErr w:type="spellEnd"/>
      <w:r w:rsidR="003A4C78">
        <w:rPr>
          <w:rFonts w:ascii="Times New Roman" w:hAnsi="Times New Roman" w:cs="Times New Roman"/>
        </w:rPr>
        <w:t>, which require relinquishing one good for the sake of another</w:t>
      </w:r>
      <w:r w:rsidR="000B3B3E">
        <w:rPr>
          <w:rFonts w:ascii="Times New Roman" w:hAnsi="Times New Roman" w:cs="Times New Roman"/>
        </w:rPr>
        <w:t>.</w:t>
      </w:r>
      <w:r w:rsidR="003A4C78">
        <w:rPr>
          <w:rFonts w:ascii="Times New Roman" w:hAnsi="Times New Roman" w:cs="Times New Roman"/>
        </w:rPr>
        <w:t>”</w:t>
      </w:r>
      <w:r w:rsidR="000B3B3E">
        <w:rPr>
          <w:rStyle w:val="FootnoteReference"/>
          <w:rFonts w:ascii="Times New Roman" w:hAnsi="Times New Roman" w:cs="Times New Roman"/>
        </w:rPr>
        <w:footnoteReference w:id="54"/>
      </w:r>
    </w:p>
    <w:p w14:paraId="70F606DA" w14:textId="2971D7E7" w:rsidR="00B80C43" w:rsidRDefault="00B80C43" w:rsidP="00773453">
      <w:pPr>
        <w:ind w:left="720"/>
        <w:jc w:val="both"/>
        <w:rPr>
          <w:rFonts w:ascii="Times New Roman" w:hAnsi="Times New Roman" w:cs="Times New Roman"/>
        </w:rPr>
      </w:pPr>
    </w:p>
    <w:p w14:paraId="6BDE794D" w14:textId="01E208C5" w:rsidR="009D727D" w:rsidRDefault="009D727D" w:rsidP="00B80C43">
      <w:pPr>
        <w:jc w:val="both"/>
        <w:rPr>
          <w:rFonts w:ascii="Times New Roman" w:hAnsi="Times New Roman" w:cs="Times New Roman"/>
        </w:rPr>
      </w:pPr>
      <w:r>
        <w:rPr>
          <w:rFonts w:ascii="Times New Roman" w:hAnsi="Times New Roman" w:cs="Times New Roman"/>
        </w:rPr>
        <w:t xml:space="preserve">This takes us to the choice theory of contracts: </w:t>
      </w:r>
      <w:r w:rsidR="00AD3A76">
        <w:rPr>
          <w:rFonts w:ascii="Times New Roman" w:hAnsi="Times New Roman" w:cs="Times New Roman"/>
        </w:rPr>
        <w:t>within any particular contractual sphere</w:t>
      </w:r>
      <w:r w:rsidR="007C7469">
        <w:rPr>
          <w:rFonts w:ascii="Times New Roman" w:hAnsi="Times New Roman" w:cs="Times New Roman"/>
        </w:rPr>
        <w:t xml:space="preserve"> or context</w:t>
      </w:r>
      <w:r w:rsidR="00AD3A76">
        <w:rPr>
          <w:rFonts w:ascii="Times New Roman" w:hAnsi="Times New Roman" w:cs="Times New Roman"/>
        </w:rPr>
        <w:t xml:space="preserve">, such as sales, </w:t>
      </w:r>
      <w:r w:rsidR="007C7469">
        <w:rPr>
          <w:rFonts w:ascii="Times New Roman" w:hAnsi="Times New Roman" w:cs="Times New Roman"/>
        </w:rPr>
        <w:t xml:space="preserve">workplace relations, </w:t>
      </w:r>
      <w:r w:rsidR="000C24F7">
        <w:rPr>
          <w:rFonts w:ascii="Times New Roman" w:hAnsi="Times New Roman" w:cs="Times New Roman"/>
        </w:rPr>
        <w:t xml:space="preserve">or marriage, there should be a range of valuable contract types from which prospective contracting parties can choose. </w:t>
      </w:r>
      <w:r w:rsidR="005D7873">
        <w:rPr>
          <w:rFonts w:ascii="Times New Roman" w:hAnsi="Times New Roman" w:cs="Times New Roman"/>
        </w:rPr>
        <w:t xml:space="preserve">And this bring us to </w:t>
      </w:r>
      <w:r w:rsidR="003026DF">
        <w:rPr>
          <w:rFonts w:ascii="Times New Roman" w:hAnsi="Times New Roman" w:cs="Times New Roman"/>
        </w:rPr>
        <w:t xml:space="preserve">the second </w:t>
      </w:r>
      <w:proofErr w:type="spellStart"/>
      <w:r w:rsidR="003026DF">
        <w:rPr>
          <w:rFonts w:ascii="Times New Roman" w:hAnsi="Times New Roman" w:cs="Times New Roman"/>
        </w:rPr>
        <w:t>Razian</w:t>
      </w:r>
      <w:proofErr w:type="spellEnd"/>
      <w:r w:rsidR="003026DF">
        <w:rPr>
          <w:rFonts w:ascii="Times New Roman" w:hAnsi="Times New Roman" w:cs="Times New Roman"/>
        </w:rPr>
        <w:t xml:space="preserve"> point Dagan and Heller pursue, the role of the state.</w:t>
      </w:r>
    </w:p>
    <w:p w14:paraId="577D7F58" w14:textId="048B3461" w:rsidR="0034541E" w:rsidRDefault="0034541E" w:rsidP="00B80C43">
      <w:pPr>
        <w:jc w:val="both"/>
        <w:rPr>
          <w:rFonts w:ascii="Times New Roman" w:hAnsi="Times New Roman" w:cs="Times New Roman"/>
        </w:rPr>
      </w:pPr>
    </w:p>
    <w:p w14:paraId="6B6525CF" w14:textId="7FAA5AF0" w:rsidR="0034541E" w:rsidRDefault="00AC4F67" w:rsidP="00AC4F67">
      <w:pPr>
        <w:ind w:left="720"/>
        <w:jc w:val="both"/>
        <w:rPr>
          <w:rFonts w:ascii="Times New Roman" w:hAnsi="Times New Roman" w:cs="Times New Roman"/>
        </w:rPr>
      </w:pPr>
      <w:r>
        <w:rPr>
          <w:rFonts w:ascii="Times New Roman" w:hAnsi="Times New Roman" w:cs="Times New Roman"/>
        </w:rPr>
        <w:t xml:space="preserve">Raz starts by noting the diversity of  valuable human goods from which autonomous people should be able to </w:t>
      </w:r>
      <w:r w:rsidR="00E76025">
        <w:rPr>
          <w:rFonts w:ascii="Times New Roman" w:hAnsi="Times New Roman" w:cs="Times New Roman"/>
        </w:rPr>
        <w:t xml:space="preserve">choose and the distinct constitutive value of those goods. Given that diversity, he argues, the state </w:t>
      </w:r>
      <w:r w:rsidR="00FD7DB5">
        <w:rPr>
          <w:rFonts w:ascii="Times New Roman" w:hAnsi="Times New Roman" w:cs="Times New Roman"/>
        </w:rPr>
        <w:t xml:space="preserve">must recognize a sufficiently diverse set of robust frameworks </w:t>
      </w:r>
      <w:r w:rsidR="007F77FC">
        <w:rPr>
          <w:rFonts w:ascii="Times New Roman" w:hAnsi="Times New Roman" w:cs="Times New Roman"/>
        </w:rPr>
        <w:t xml:space="preserve">for people to organize their lives. </w:t>
      </w:r>
      <w:r w:rsidR="00862D9A">
        <w:rPr>
          <w:rFonts w:ascii="Times New Roman" w:hAnsi="Times New Roman" w:cs="Times New Roman"/>
        </w:rPr>
        <w:t xml:space="preserve">But the state’s obligation to foster diversity and multiplicity cannot be </w:t>
      </w:r>
      <w:r w:rsidR="009B70EA">
        <w:rPr>
          <w:rFonts w:ascii="Times New Roman" w:hAnsi="Times New Roman" w:cs="Times New Roman"/>
        </w:rPr>
        <w:t xml:space="preserve">properly accomplished through a hands-off or passive approach to the law. Why? Because such an attitude would </w:t>
      </w:r>
      <w:r w:rsidR="004064BC">
        <w:rPr>
          <w:rFonts w:ascii="Times New Roman" w:hAnsi="Times New Roman" w:cs="Times New Roman"/>
        </w:rPr>
        <w:t>“undermine the chances of survival of many cherished aspects of our culture</w:t>
      </w:r>
      <w:r w:rsidR="00A37A1C">
        <w:rPr>
          <w:rFonts w:ascii="Times New Roman" w:hAnsi="Times New Roman" w:cs="Times New Roman"/>
        </w:rPr>
        <w:t>.”</w:t>
      </w:r>
      <w:r w:rsidR="002E101E">
        <w:rPr>
          <w:rStyle w:val="FootnoteReference"/>
          <w:rFonts w:ascii="Times New Roman" w:hAnsi="Times New Roman" w:cs="Times New Roman"/>
        </w:rPr>
        <w:footnoteReference w:id="55"/>
      </w:r>
      <w:r w:rsidR="008C59FA">
        <w:rPr>
          <w:rFonts w:ascii="Times New Roman" w:hAnsi="Times New Roman" w:cs="Times New Roman"/>
        </w:rPr>
        <w:t xml:space="preserve"> A commitment to personal autonomy thus requires </w:t>
      </w:r>
      <w:r w:rsidR="006B7218">
        <w:rPr>
          <w:rFonts w:ascii="Times New Roman" w:hAnsi="Times New Roman" w:cs="Times New Roman"/>
        </w:rPr>
        <w:t xml:space="preserve">that </w:t>
      </w:r>
      <w:r w:rsidR="008C59FA">
        <w:rPr>
          <w:rFonts w:ascii="Times New Roman" w:hAnsi="Times New Roman" w:cs="Times New Roman"/>
        </w:rPr>
        <w:t>a liberal state</w:t>
      </w:r>
      <w:r w:rsidR="006B7218">
        <w:rPr>
          <w:rFonts w:ascii="Times New Roman" w:hAnsi="Times New Roman" w:cs="Times New Roman"/>
        </w:rPr>
        <w:t>, through its laws, work more actively</w:t>
      </w:r>
      <w:r w:rsidR="00075B10">
        <w:rPr>
          <w:rFonts w:ascii="Times New Roman" w:hAnsi="Times New Roman" w:cs="Times New Roman"/>
        </w:rPr>
        <w:t xml:space="preserve"> to “enable individuals to pursue valid conceptions of the good” by providing them a multiplicity of options</w:t>
      </w:r>
      <w:r w:rsidR="00285957">
        <w:rPr>
          <w:rFonts w:ascii="Times New Roman" w:hAnsi="Times New Roman" w:cs="Times New Roman"/>
        </w:rPr>
        <w:t>.</w:t>
      </w:r>
      <w:r w:rsidR="00B46F3F">
        <w:rPr>
          <w:rStyle w:val="FootnoteReference"/>
          <w:rFonts w:ascii="Times New Roman" w:hAnsi="Times New Roman" w:cs="Times New Roman"/>
        </w:rPr>
        <w:footnoteReference w:id="56"/>
      </w:r>
      <w:r w:rsidR="00B46F3F">
        <w:rPr>
          <w:rFonts w:ascii="Times New Roman" w:hAnsi="Times New Roman" w:cs="Times New Roman"/>
        </w:rPr>
        <w:t xml:space="preserve"> </w:t>
      </w:r>
      <w:r w:rsidR="00285957">
        <w:rPr>
          <w:rStyle w:val="FootnoteReference"/>
          <w:rFonts w:ascii="Times New Roman" w:hAnsi="Times New Roman" w:cs="Times New Roman"/>
        </w:rPr>
        <w:footnoteReference w:id="57"/>
      </w:r>
    </w:p>
    <w:p w14:paraId="4B8500D2" w14:textId="77777777" w:rsidR="009D727D" w:rsidRDefault="009D727D" w:rsidP="00B80C43">
      <w:pPr>
        <w:jc w:val="both"/>
        <w:rPr>
          <w:rFonts w:ascii="Times New Roman" w:hAnsi="Times New Roman" w:cs="Times New Roman"/>
        </w:rPr>
      </w:pPr>
    </w:p>
    <w:p w14:paraId="67129217" w14:textId="1290D836" w:rsidR="007A28AB" w:rsidRDefault="000317B0" w:rsidP="007A28AB">
      <w:pPr>
        <w:jc w:val="both"/>
        <w:rPr>
          <w:rFonts w:ascii="Times New Roman" w:hAnsi="Times New Roman" w:cs="Times New Roman"/>
        </w:rPr>
      </w:pPr>
      <w:r>
        <w:rPr>
          <w:rFonts w:ascii="Times New Roman" w:hAnsi="Times New Roman" w:cs="Times New Roman"/>
        </w:rPr>
        <w:t xml:space="preserve">Let me make a few observations about these passages and the general picture, which I hope </w:t>
      </w:r>
      <w:r w:rsidR="0051187C">
        <w:rPr>
          <w:rFonts w:ascii="Times New Roman" w:hAnsi="Times New Roman" w:cs="Times New Roman"/>
        </w:rPr>
        <w:t xml:space="preserve">are </w:t>
      </w:r>
      <w:r w:rsidR="005B3769">
        <w:rPr>
          <w:rFonts w:ascii="Times New Roman" w:hAnsi="Times New Roman" w:cs="Times New Roman"/>
        </w:rPr>
        <w:t xml:space="preserve">not captious. </w:t>
      </w:r>
      <w:r w:rsidR="005C2530">
        <w:rPr>
          <w:rFonts w:ascii="Times New Roman" w:hAnsi="Times New Roman" w:cs="Times New Roman"/>
        </w:rPr>
        <w:t>First of all, following on from the last section</w:t>
      </w:r>
      <w:r w:rsidR="004D4049">
        <w:rPr>
          <w:rFonts w:ascii="Times New Roman" w:hAnsi="Times New Roman" w:cs="Times New Roman"/>
        </w:rPr>
        <w:t xml:space="preserve">, </w:t>
      </w:r>
      <w:r w:rsidR="005C2530">
        <w:rPr>
          <w:rFonts w:ascii="Times New Roman" w:hAnsi="Times New Roman" w:cs="Times New Roman"/>
        </w:rPr>
        <w:t>I might repeat my sceptic</w:t>
      </w:r>
      <w:r w:rsidR="004D4049">
        <w:rPr>
          <w:rFonts w:ascii="Times New Roman" w:hAnsi="Times New Roman" w:cs="Times New Roman"/>
        </w:rPr>
        <w:t>is</w:t>
      </w:r>
      <w:r w:rsidR="005C2530">
        <w:rPr>
          <w:rFonts w:ascii="Times New Roman" w:hAnsi="Times New Roman" w:cs="Times New Roman"/>
        </w:rPr>
        <w:t xml:space="preserve">m about whether </w:t>
      </w:r>
      <w:r w:rsidR="00C1074B">
        <w:rPr>
          <w:rFonts w:ascii="Times New Roman" w:hAnsi="Times New Roman" w:cs="Times New Roman"/>
        </w:rPr>
        <w:t xml:space="preserve">the various doctrines of the common law do much more than securing the independence condition </w:t>
      </w:r>
      <w:r w:rsidR="00333EF0">
        <w:rPr>
          <w:rFonts w:ascii="Times New Roman" w:hAnsi="Times New Roman" w:cs="Times New Roman"/>
        </w:rPr>
        <w:t xml:space="preserve">for autonomy, as opposed to providing choices or options which reflect </w:t>
      </w:r>
      <w:r w:rsidR="00FA24CE">
        <w:rPr>
          <w:rFonts w:ascii="Times New Roman" w:hAnsi="Times New Roman" w:cs="Times New Roman"/>
        </w:rPr>
        <w:t xml:space="preserve">or map onto </w:t>
      </w:r>
      <w:r w:rsidR="00333EF0">
        <w:rPr>
          <w:rFonts w:ascii="Times New Roman" w:hAnsi="Times New Roman" w:cs="Times New Roman"/>
        </w:rPr>
        <w:t xml:space="preserve">the sort of </w:t>
      </w:r>
      <w:r w:rsidR="004D4049">
        <w:rPr>
          <w:rFonts w:ascii="Times New Roman" w:hAnsi="Times New Roman" w:cs="Times New Roman"/>
        </w:rPr>
        <w:t xml:space="preserve">meaningful autonomous choices I think Raz is interested in. </w:t>
      </w:r>
      <w:r w:rsidR="00FA24CE">
        <w:rPr>
          <w:rFonts w:ascii="Times New Roman" w:hAnsi="Times New Roman" w:cs="Times New Roman"/>
        </w:rPr>
        <w:t xml:space="preserve">Again, my saying this is neither to critique nor endorse the choice theory of contracts, </w:t>
      </w:r>
      <w:r w:rsidR="00175BA2">
        <w:rPr>
          <w:rFonts w:ascii="Times New Roman" w:hAnsi="Times New Roman" w:cs="Times New Roman"/>
        </w:rPr>
        <w:t xml:space="preserve">either on the basis of ‘fit’ with the current law of contract or in terms of its aspirations for reform. </w:t>
      </w:r>
      <w:r w:rsidR="007A3A3D">
        <w:rPr>
          <w:rFonts w:ascii="Times New Roman" w:hAnsi="Times New Roman" w:cs="Times New Roman"/>
        </w:rPr>
        <w:t xml:space="preserve">It is, to my </w:t>
      </w:r>
      <w:r w:rsidR="007A3A3D">
        <w:rPr>
          <w:rFonts w:ascii="Times New Roman" w:hAnsi="Times New Roman" w:cs="Times New Roman"/>
        </w:rPr>
        <w:lastRenderedPageBreak/>
        <w:t>mind</w:t>
      </w:r>
      <w:r w:rsidR="0084731D">
        <w:rPr>
          <w:rFonts w:ascii="Times New Roman" w:hAnsi="Times New Roman" w:cs="Times New Roman"/>
        </w:rPr>
        <w:t xml:space="preserve"> as an instrumentalist</w:t>
      </w:r>
      <w:r w:rsidR="007A3A3D">
        <w:rPr>
          <w:rFonts w:ascii="Times New Roman" w:hAnsi="Times New Roman" w:cs="Times New Roman"/>
        </w:rPr>
        <w:t xml:space="preserve">, an open question whether the best way to proceed in contract law is to provide a range of different ‘types’ from which </w:t>
      </w:r>
      <w:r w:rsidR="00A766F2">
        <w:rPr>
          <w:rFonts w:ascii="Times New Roman" w:hAnsi="Times New Roman" w:cs="Times New Roman"/>
        </w:rPr>
        <w:t xml:space="preserve">contracting parties may choose, or proceed </w:t>
      </w:r>
      <w:r w:rsidR="00673EB9">
        <w:rPr>
          <w:rFonts w:ascii="Times New Roman" w:hAnsi="Times New Roman" w:cs="Times New Roman"/>
        </w:rPr>
        <w:t>by</w:t>
      </w:r>
      <w:r w:rsidR="00A766F2">
        <w:rPr>
          <w:rFonts w:ascii="Times New Roman" w:hAnsi="Times New Roman" w:cs="Times New Roman"/>
        </w:rPr>
        <w:t xml:space="preserve"> </w:t>
      </w:r>
      <w:r w:rsidR="00300A04">
        <w:rPr>
          <w:rFonts w:ascii="Times New Roman" w:hAnsi="Times New Roman" w:cs="Times New Roman"/>
        </w:rPr>
        <w:t>giving priority to</w:t>
      </w:r>
      <w:r w:rsidR="00A766F2">
        <w:rPr>
          <w:rFonts w:ascii="Times New Roman" w:hAnsi="Times New Roman" w:cs="Times New Roman"/>
        </w:rPr>
        <w:t xml:space="preserve"> other considerations than </w:t>
      </w:r>
      <w:r w:rsidR="00300A04">
        <w:rPr>
          <w:rFonts w:ascii="Times New Roman" w:hAnsi="Times New Roman" w:cs="Times New Roman"/>
        </w:rPr>
        <w:t xml:space="preserve">Dagan’s and Heller’s autonomy/self-determination. </w:t>
      </w:r>
      <w:r w:rsidR="00C45DC2">
        <w:rPr>
          <w:rFonts w:ascii="Times New Roman" w:hAnsi="Times New Roman" w:cs="Times New Roman"/>
        </w:rPr>
        <w:t xml:space="preserve">In part I find it difficult to determine from their texts whether the theory really is </w:t>
      </w:r>
      <w:r w:rsidR="009A2244">
        <w:rPr>
          <w:rFonts w:ascii="Times New Roman" w:hAnsi="Times New Roman" w:cs="Times New Roman"/>
        </w:rPr>
        <w:t xml:space="preserve">primarily </w:t>
      </w:r>
      <w:r w:rsidR="00C45DC2">
        <w:rPr>
          <w:rFonts w:ascii="Times New Roman" w:hAnsi="Times New Roman" w:cs="Times New Roman"/>
        </w:rPr>
        <w:t xml:space="preserve">a theory of contract </w:t>
      </w:r>
      <w:r w:rsidR="009A2244">
        <w:rPr>
          <w:rFonts w:ascii="Times New Roman" w:hAnsi="Times New Roman" w:cs="Times New Roman"/>
          <w:i/>
          <w:iCs/>
        </w:rPr>
        <w:t>types</w:t>
      </w:r>
      <w:r w:rsidR="009A2244">
        <w:rPr>
          <w:rFonts w:ascii="Times New Roman" w:hAnsi="Times New Roman" w:cs="Times New Roman"/>
        </w:rPr>
        <w:t xml:space="preserve"> as opposed to an analysis and reform agenda </w:t>
      </w:r>
      <w:r w:rsidR="00D54A66">
        <w:rPr>
          <w:rFonts w:ascii="Times New Roman" w:hAnsi="Times New Roman" w:cs="Times New Roman"/>
        </w:rPr>
        <w:t xml:space="preserve">with respect to particular contract </w:t>
      </w:r>
      <w:r w:rsidR="00D54A66">
        <w:rPr>
          <w:rFonts w:ascii="Times New Roman" w:hAnsi="Times New Roman" w:cs="Times New Roman"/>
          <w:i/>
          <w:iCs/>
        </w:rPr>
        <w:t>doctrines.</w:t>
      </w:r>
      <w:r w:rsidR="00D54A66">
        <w:rPr>
          <w:rFonts w:ascii="Times New Roman" w:hAnsi="Times New Roman" w:cs="Times New Roman"/>
        </w:rPr>
        <w:t xml:space="preserve"> So consider this passage:</w:t>
      </w:r>
    </w:p>
    <w:p w14:paraId="4E7B7092" w14:textId="77777777" w:rsidR="007A28AB" w:rsidRDefault="007A28AB" w:rsidP="007A28AB">
      <w:pPr>
        <w:jc w:val="both"/>
        <w:rPr>
          <w:rFonts w:ascii="Times New Roman" w:hAnsi="Times New Roman" w:cs="Times New Roman"/>
        </w:rPr>
      </w:pPr>
    </w:p>
    <w:p w14:paraId="709A6050" w14:textId="4FAD162A" w:rsidR="007A28AB" w:rsidRDefault="007A28AB" w:rsidP="007A28AB">
      <w:pPr>
        <w:ind w:left="720"/>
        <w:jc w:val="both"/>
        <w:rPr>
          <w:rFonts w:ascii="Times New Roman" w:hAnsi="Times New Roman" w:cs="Times New Roman"/>
        </w:rPr>
      </w:pPr>
      <w:r>
        <w:rPr>
          <w:rFonts w:ascii="Times New Roman" w:hAnsi="Times New Roman" w:cs="Times New Roman"/>
        </w:rPr>
        <w:t>[W]</w:t>
      </w:r>
      <w:r w:rsidRPr="005D27ED">
        <w:rPr>
          <w:rFonts w:ascii="Times New Roman" w:hAnsi="Times New Roman" w:cs="Times New Roman"/>
        </w:rPr>
        <w:t xml:space="preserve">here </w:t>
      </w:r>
      <w:r w:rsidRPr="002F3F69">
        <w:rPr>
          <w:rFonts w:ascii="Times New Roman" w:hAnsi="Times New Roman" w:cs="Times New Roman"/>
        </w:rPr>
        <w:t>sophisticated parties to complex commercial contracts</w:t>
      </w:r>
      <w:r w:rsidRPr="005D27ED">
        <w:rPr>
          <w:rFonts w:ascii="Times New Roman" w:hAnsi="Times New Roman" w:cs="Times New Roman"/>
        </w:rPr>
        <w:t xml:space="preserve"> use a liquidated</w:t>
      </w:r>
      <w:r>
        <w:rPr>
          <w:rFonts w:ascii="Times New Roman" w:hAnsi="Times New Roman" w:cs="Times New Roman"/>
        </w:rPr>
        <w:t xml:space="preserve"> </w:t>
      </w:r>
      <w:r w:rsidRPr="005D27ED">
        <w:rPr>
          <w:rFonts w:ascii="Times New Roman" w:hAnsi="Times New Roman" w:cs="Times New Roman"/>
        </w:rPr>
        <w:t>damages clause in anticipation of possibly unverifiable harms of breach (or for any</w:t>
      </w:r>
      <w:r>
        <w:rPr>
          <w:rFonts w:ascii="Times New Roman" w:hAnsi="Times New Roman" w:cs="Times New Roman"/>
        </w:rPr>
        <w:t xml:space="preserve"> </w:t>
      </w:r>
      <w:r w:rsidRPr="005D27ED">
        <w:rPr>
          <w:rFonts w:ascii="Times New Roman" w:hAnsi="Times New Roman" w:cs="Times New Roman"/>
        </w:rPr>
        <w:t xml:space="preserve">other reason that fits their cooperative engagement), an </w:t>
      </w:r>
      <w:r w:rsidRPr="004E563D">
        <w:rPr>
          <w:rFonts w:ascii="Times New Roman" w:hAnsi="Times New Roman" w:cs="Times New Roman"/>
          <w:i/>
          <w:iCs/>
        </w:rPr>
        <w:t>autonomy‐enhancing</w:t>
      </w:r>
      <w:r>
        <w:rPr>
          <w:rFonts w:ascii="Times New Roman" w:hAnsi="Times New Roman" w:cs="Times New Roman"/>
        </w:rPr>
        <w:t xml:space="preserve"> </w:t>
      </w:r>
      <w:r w:rsidRPr="005D27ED">
        <w:rPr>
          <w:rFonts w:ascii="Times New Roman" w:hAnsi="Times New Roman" w:cs="Times New Roman"/>
        </w:rPr>
        <w:t>contract law must validate its full effect.</w:t>
      </w:r>
      <w:r w:rsidR="007A79BE">
        <w:rPr>
          <w:rStyle w:val="FootnoteReference"/>
          <w:rFonts w:ascii="Times New Roman" w:hAnsi="Times New Roman" w:cs="Times New Roman"/>
        </w:rPr>
        <w:footnoteReference w:id="58"/>
      </w:r>
    </w:p>
    <w:p w14:paraId="3DB3F59F" w14:textId="77777777" w:rsidR="002F3F69" w:rsidRDefault="002F3F69" w:rsidP="00B80C43">
      <w:pPr>
        <w:jc w:val="both"/>
        <w:rPr>
          <w:rFonts w:ascii="Times New Roman" w:hAnsi="Times New Roman" w:cs="Times New Roman"/>
        </w:rPr>
      </w:pPr>
    </w:p>
    <w:p w14:paraId="39DBA8AE" w14:textId="555A25D6" w:rsidR="00BB64E3" w:rsidRDefault="002F3F69" w:rsidP="00B80C43">
      <w:pPr>
        <w:jc w:val="both"/>
        <w:rPr>
          <w:rFonts w:ascii="Times New Roman" w:hAnsi="Times New Roman" w:cs="Times New Roman"/>
        </w:rPr>
      </w:pPr>
      <w:r>
        <w:rPr>
          <w:rFonts w:ascii="Times New Roman" w:hAnsi="Times New Roman" w:cs="Times New Roman"/>
        </w:rPr>
        <w:t>Allowing such a doctrine</w:t>
      </w:r>
      <w:r w:rsidR="00FB1D8F">
        <w:rPr>
          <w:rFonts w:ascii="Times New Roman" w:hAnsi="Times New Roman" w:cs="Times New Roman"/>
        </w:rPr>
        <w:t xml:space="preserve"> would, I suppose, shape particular contracts in certain ways, but I am not sure how </w:t>
      </w:r>
      <w:r w:rsidR="00A20820">
        <w:rPr>
          <w:rFonts w:ascii="Times New Roman" w:hAnsi="Times New Roman" w:cs="Times New Roman"/>
        </w:rPr>
        <w:t xml:space="preserve">or whether </w:t>
      </w:r>
      <w:r w:rsidR="00FB1D8F">
        <w:rPr>
          <w:rFonts w:ascii="Times New Roman" w:hAnsi="Times New Roman" w:cs="Times New Roman"/>
        </w:rPr>
        <w:t>th</w:t>
      </w:r>
      <w:r w:rsidR="00A20820">
        <w:rPr>
          <w:rFonts w:ascii="Times New Roman" w:hAnsi="Times New Roman" w:cs="Times New Roman"/>
        </w:rPr>
        <w:t>e insertion of such a clause</w:t>
      </w:r>
      <w:r w:rsidR="00FB1D8F">
        <w:rPr>
          <w:rFonts w:ascii="Times New Roman" w:hAnsi="Times New Roman" w:cs="Times New Roman"/>
        </w:rPr>
        <w:t xml:space="preserve"> would make the contract of a different ‘type’</w:t>
      </w:r>
      <w:r w:rsidR="00A20820">
        <w:rPr>
          <w:rFonts w:ascii="Times New Roman" w:hAnsi="Times New Roman" w:cs="Times New Roman"/>
        </w:rPr>
        <w:t xml:space="preserve"> from </w:t>
      </w:r>
      <w:r w:rsidR="00EB185D">
        <w:rPr>
          <w:rFonts w:ascii="Times New Roman" w:hAnsi="Times New Roman" w:cs="Times New Roman"/>
        </w:rPr>
        <w:t>one without the insertion</w:t>
      </w:r>
      <w:r w:rsidR="004248AD">
        <w:rPr>
          <w:rFonts w:ascii="Times New Roman" w:hAnsi="Times New Roman" w:cs="Times New Roman"/>
        </w:rPr>
        <w:t xml:space="preserve">. It would drain the concept of a </w:t>
      </w:r>
      <w:r w:rsidR="00EA739C">
        <w:rPr>
          <w:rFonts w:ascii="Times New Roman" w:hAnsi="Times New Roman" w:cs="Times New Roman"/>
        </w:rPr>
        <w:t>‘</w:t>
      </w:r>
      <w:r w:rsidR="004248AD">
        <w:rPr>
          <w:rFonts w:ascii="Times New Roman" w:hAnsi="Times New Roman" w:cs="Times New Roman"/>
        </w:rPr>
        <w:t>type</w:t>
      </w:r>
      <w:r w:rsidR="00EA739C">
        <w:rPr>
          <w:rFonts w:ascii="Times New Roman" w:hAnsi="Times New Roman" w:cs="Times New Roman"/>
        </w:rPr>
        <w:t>’</w:t>
      </w:r>
      <w:r w:rsidR="004248AD">
        <w:rPr>
          <w:rFonts w:ascii="Times New Roman" w:hAnsi="Times New Roman" w:cs="Times New Roman"/>
        </w:rPr>
        <w:t xml:space="preserve"> of any meaning if </w:t>
      </w:r>
      <w:r w:rsidR="00FB1D8F" w:rsidRPr="008F739E">
        <w:rPr>
          <w:rFonts w:ascii="Times New Roman" w:hAnsi="Times New Roman" w:cs="Times New Roman"/>
          <w:i/>
          <w:iCs/>
        </w:rPr>
        <w:t>any</w:t>
      </w:r>
      <w:r w:rsidR="00FB1D8F">
        <w:rPr>
          <w:rFonts w:ascii="Times New Roman" w:hAnsi="Times New Roman" w:cs="Times New Roman"/>
        </w:rPr>
        <w:t xml:space="preserve"> </w:t>
      </w:r>
      <w:r w:rsidR="00BC1755">
        <w:rPr>
          <w:rFonts w:ascii="Times New Roman" w:hAnsi="Times New Roman" w:cs="Times New Roman"/>
        </w:rPr>
        <w:t xml:space="preserve">difference in </w:t>
      </w:r>
      <w:r w:rsidR="00FB1D8F">
        <w:rPr>
          <w:rFonts w:ascii="Times New Roman" w:hAnsi="Times New Roman" w:cs="Times New Roman"/>
        </w:rPr>
        <w:t xml:space="preserve">the </w:t>
      </w:r>
      <w:r w:rsidR="00494FED">
        <w:rPr>
          <w:rFonts w:ascii="Times New Roman" w:hAnsi="Times New Roman" w:cs="Times New Roman"/>
        </w:rPr>
        <w:t xml:space="preserve">terms of </w:t>
      </w:r>
      <w:r w:rsidR="00690940">
        <w:rPr>
          <w:rFonts w:ascii="Times New Roman" w:hAnsi="Times New Roman" w:cs="Times New Roman"/>
        </w:rPr>
        <w:t>two</w:t>
      </w:r>
      <w:r w:rsidR="00494FED">
        <w:rPr>
          <w:rFonts w:ascii="Times New Roman" w:hAnsi="Times New Roman" w:cs="Times New Roman"/>
        </w:rPr>
        <w:t xml:space="preserve"> contract</w:t>
      </w:r>
      <w:r w:rsidR="00690940">
        <w:rPr>
          <w:rFonts w:ascii="Times New Roman" w:hAnsi="Times New Roman" w:cs="Times New Roman"/>
        </w:rPr>
        <w:t>s made them</w:t>
      </w:r>
      <w:r w:rsidR="00494FED">
        <w:rPr>
          <w:rFonts w:ascii="Times New Roman" w:hAnsi="Times New Roman" w:cs="Times New Roman"/>
        </w:rPr>
        <w:t xml:space="preserve"> </w:t>
      </w:r>
      <w:r w:rsidR="00BC38D7">
        <w:rPr>
          <w:rFonts w:ascii="Times New Roman" w:hAnsi="Times New Roman" w:cs="Times New Roman"/>
        </w:rPr>
        <w:t>different ‘</w:t>
      </w:r>
      <w:r w:rsidR="00494FED">
        <w:rPr>
          <w:rFonts w:ascii="Times New Roman" w:hAnsi="Times New Roman" w:cs="Times New Roman"/>
        </w:rPr>
        <w:t>type</w:t>
      </w:r>
      <w:r w:rsidR="00690940">
        <w:rPr>
          <w:rFonts w:ascii="Times New Roman" w:hAnsi="Times New Roman" w:cs="Times New Roman"/>
        </w:rPr>
        <w:t>s</w:t>
      </w:r>
      <w:r w:rsidR="00BC38D7">
        <w:rPr>
          <w:rFonts w:ascii="Times New Roman" w:hAnsi="Times New Roman" w:cs="Times New Roman"/>
        </w:rPr>
        <w:t>’</w:t>
      </w:r>
      <w:r w:rsidR="00690940">
        <w:rPr>
          <w:rFonts w:ascii="Times New Roman" w:hAnsi="Times New Roman" w:cs="Times New Roman"/>
        </w:rPr>
        <w:t>.</w:t>
      </w:r>
      <w:r w:rsidR="00494FED">
        <w:rPr>
          <w:rFonts w:ascii="Times New Roman" w:hAnsi="Times New Roman" w:cs="Times New Roman"/>
        </w:rPr>
        <w:t xml:space="preserve"> So I am not entirely clear what the individuation princ</w:t>
      </w:r>
      <w:r w:rsidR="00CA4B9F">
        <w:rPr>
          <w:rFonts w:ascii="Times New Roman" w:hAnsi="Times New Roman" w:cs="Times New Roman"/>
        </w:rPr>
        <w:t>i</w:t>
      </w:r>
      <w:r w:rsidR="00494FED">
        <w:rPr>
          <w:rFonts w:ascii="Times New Roman" w:hAnsi="Times New Roman" w:cs="Times New Roman"/>
        </w:rPr>
        <w:t xml:space="preserve">ples for types </w:t>
      </w:r>
      <w:r w:rsidR="00CA4B9F">
        <w:rPr>
          <w:rFonts w:ascii="Times New Roman" w:hAnsi="Times New Roman" w:cs="Times New Roman"/>
        </w:rPr>
        <w:t>are.</w:t>
      </w:r>
      <w:r w:rsidR="00FE38A1">
        <w:rPr>
          <w:rStyle w:val="FootnoteReference"/>
          <w:rFonts w:ascii="Times New Roman" w:hAnsi="Times New Roman" w:cs="Times New Roman"/>
        </w:rPr>
        <w:footnoteReference w:id="59"/>
      </w:r>
      <w:r w:rsidR="00CA4B9F">
        <w:rPr>
          <w:rFonts w:ascii="Times New Roman" w:hAnsi="Times New Roman" w:cs="Times New Roman"/>
        </w:rPr>
        <w:t xml:space="preserve"> </w:t>
      </w:r>
    </w:p>
    <w:p w14:paraId="2E925466" w14:textId="77777777" w:rsidR="00BB64E3" w:rsidRDefault="00BB64E3" w:rsidP="00B80C43">
      <w:pPr>
        <w:jc w:val="both"/>
        <w:rPr>
          <w:rFonts w:ascii="Times New Roman" w:hAnsi="Times New Roman" w:cs="Times New Roman"/>
        </w:rPr>
      </w:pPr>
    </w:p>
    <w:p w14:paraId="7C83B3FB" w14:textId="273F4D78" w:rsidR="007A3A3D" w:rsidRPr="00847107" w:rsidRDefault="00CA4B9F" w:rsidP="00B80C43">
      <w:pPr>
        <w:jc w:val="both"/>
        <w:rPr>
          <w:rFonts w:ascii="Times New Roman" w:hAnsi="Times New Roman" w:cs="Times New Roman"/>
        </w:rPr>
      </w:pPr>
      <w:r>
        <w:rPr>
          <w:rFonts w:ascii="Times New Roman" w:hAnsi="Times New Roman" w:cs="Times New Roman"/>
        </w:rPr>
        <w:t>Secondly, the ability to incorporate liqui</w:t>
      </w:r>
      <w:r w:rsidR="00F87601">
        <w:rPr>
          <w:rFonts w:ascii="Times New Roman" w:hAnsi="Times New Roman" w:cs="Times New Roman"/>
        </w:rPr>
        <w:t>d</w:t>
      </w:r>
      <w:r>
        <w:rPr>
          <w:rFonts w:ascii="Times New Roman" w:hAnsi="Times New Roman" w:cs="Times New Roman"/>
        </w:rPr>
        <w:t xml:space="preserve">ated damages </w:t>
      </w:r>
      <w:r w:rsidR="00F87601">
        <w:rPr>
          <w:rFonts w:ascii="Times New Roman" w:hAnsi="Times New Roman" w:cs="Times New Roman"/>
        </w:rPr>
        <w:t xml:space="preserve">provisions in a contract is defended here on </w:t>
      </w:r>
      <w:r w:rsidR="00747C08">
        <w:rPr>
          <w:rFonts w:ascii="Times New Roman" w:hAnsi="Times New Roman" w:cs="Times New Roman"/>
        </w:rPr>
        <w:t>self-determination/autonomy grounds, but it looks to me much more like the non-</w:t>
      </w:r>
      <w:proofErr w:type="spellStart"/>
      <w:r w:rsidR="00747C08">
        <w:rPr>
          <w:rFonts w:ascii="Times New Roman" w:hAnsi="Times New Roman" w:cs="Times New Roman"/>
        </w:rPr>
        <w:t>Razian</w:t>
      </w:r>
      <w:proofErr w:type="spellEnd"/>
      <w:r w:rsidR="00747C08">
        <w:rPr>
          <w:rFonts w:ascii="Times New Roman" w:hAnsi="Times New Roman" w:cs="Times New Roman"/>
        </w:rPr>
        <w:t xml:space="preserve"> autonomy</w:t>
      </w:r>
      <w:r w:rsidR="00F32BD6">
        <w:rPr>
          <w:rFonts w:ascii="Times New Roman" w:hAnsi="Times New Roman" w:cs="Times New Roman"/>
        </w:rPr>
        <w:t>-</w:t>
      </w:r>
      <w:r w:rsidR="00747C08">
        <w:rPr>
          <w:rFonts w:ascii="Times New Roman" w:hAnsi="Times New Roman" w:cs="Times New Roman"/>
        </w:rPr>
        <w:t xml:space="preserve">sourced </w:t>
      </w:r>
      <w:r w:rsidR="00F32BD6">
        <w:rPr>
          <w:rFonts w:ascii="Times New Roman" w:hAnsi="Times New Roman" w:cs="Times New Roman"/>
        </w:rPr>
        <w:t>conception of self-determination as control canvassed earlier.</w:t>
      </w:r>
      <w:r w:rsidR="008427DF">
        <w:rPr>
          <w:rFonts w:ascii="Times New Roman" w:hAnsi="Times New Roman" w:cs="Times New Roman"/>
        </w:rPr>
        <w:t xml:space="preserve"> Let me add facetiously to this thought by saying none of this seems particularly relevant to </w:t>
      </w:r>
      <w:r w:rsidR="00847107">
        <w:rPr>
          <w:rFonts w:ascii="Times New Roman" w:hAnsi="Times New Roman" w:cs="Times New Roman"/>
        </w:rPr>
        <w:t xml:space="preserve">answering </w:t>
      </w:r>
      <w:r w:rsidR="00847107">
        <w:rPr>
          <w:rFonts w:ascii="Times New Roman" w:hAnsi="Times New Roman" w:cs="Times New Roman"/>
          <w:i/>
          <w:iCs/>
        </w:rPr>
        <w:t>the</w:t>
      </w:r>
      <w:r w:rsidR="00847107">
        <w:rPr>
          <w:rFonts w:ascii="Times New Roman" w:hAnsi="Times New Roman" w:cs="Times New Roman"/>
        </w:rPr>
        <w:t xml:space="preserve"> question regarding autonomy: What have you made of your life</w:t>
      </w:r>
      <w:r w:rsidR="00F46594">
        <w:rPr>
          <w:rFonts w:ascii="Times New Roman" w:hAnsi="Times New Roman" w:cs="Times New Roman"/>
        </w:rPr>
        <w:t>?</w:t>
      </w:r>
      <w:r w:rsidR="00847107">
        <w:rPr>
          <w:rFonts w:ascii="Times New Roman" w:hAnsi="Times New Roman" w:cs="Times New Roman"/>
        </w:rPr>
        <w:t xml:space="preserve"> If someone asked me that question I </w:t>
      </w:r>
      <w:r w:rsidR="00544503">
        <w:rPr>
          <w:rFonts w:ascii="Times New Roman" w:hAnsi="Times New Roman" w:cs="Times New Roman"/>
        </w:rPr>
        <w:t xml:space="preserve">would refer to my career, my </w:t>
      </w:r>
      <w:r w:rsidR="00C7781D">
        <w:rPr>
          <w:rFonts w:ascii="Times New Roman" w:hAnsi="Times New Roman" w:cs="Times New Roman"/>
        </w:rPr>
        <w:t xml:space="preserve">relationships, my </w:t>
      </w:r>
      <w:r w:rsidR="00544503">
        <w:rPr>
          <w:rFonts w:ascii="Times New Roman" w:hAnsi="Times New Roman" w:cs="Times New Roman"/>
        </w:rPr>
        <w:t>friendships, my children, perhaps to the charities I have supported</w:t>
      </w:r>
      <w:r w:rsidR="00C7781D">
        <w:rPr>
          <w:rFonts w:ascii="Times New Roman" w:hAnsi="Times New Roman" w:cs="Times New Roman"/>
        </w:rPr>
        <w:t>, the art I have collected,</w:t>
      </w:r>
      <w:r w:rsidR="00544503">
        <w:rPr>
          <w:rFonts w:ascii="Times New Roman" w:hAnsi="Times New Roman" w:cs="Times New Roman"/>
        </w:rPr>
        <w:t xml:space="preserve"> or the films I helped finance. But </w:t>
      </w:r>
      <w:r w:rsidR="007668EA">
        <w:rPr>
          <w:rFonts w:ascii="Times New Roman" w:hAnsi="Times New Roman" w:cs="Times New Roman"/>
        </w:rPr>
        <w:t>it would be odd, or not right, to say ‘I chose to be an independent contractor rather than an employee’,</w:t>
      </w:r>
      <w:r w:rsidR="00267088">
        <w:rPr>
          <w:rFonts w:ascii="Times New Roman" w:hAnsi="Times New Roman" w:cs="Times New Roman"/>
        </w:rPr>
        <w:t xml:space="preserve"> </w:t>
      </w:r>
      <w:r w:rsidR="00F5791B">
        <w:rPr>
          <w:rFonts w:ascii="Times New Roman" w:hAnsi="Times New Roman" w:cs="Times New Roman"/>
        </w:rPr>
        <w:t xml:space="preserve">or </w:t>
      </w:r>
      <w:r w:rsidR="00F46594">
        <w:rPr>
          <w:rFonts w:ascii="Times New Roman" w:hAnsi="Times New Roman" w:cs="Times New Roman"/>
        </w:rPr>
        <w:t>‘</w:t>
      </w:r>
      <w:r w:rsidR="00267088">
        <w:rPr>
          <w:rFonts w:ascii="Times New Roman" w:hAnsi="Times New Roman" w:cs="Times New Roman"/>
        </w:rPr>
        <w:t xml:space="preserve">I regularly included liquidated damages clauses in my contracts’, </w:t>
      </w:r>
      <w:r w:rsidR="007668EA">
        <w:rPr>
          <w:rFonts w:ascii="Times New Roman" w:hAnsi="Times New Roman" w:cs="Times New Roman"/>
        </w:rPr>
        <w:t>except in very special circumstances</w:t>
      </w:r>
    </w:p>
    <w:p w14:paraId="0910D619" w14:textId="717A34BB" w:rsidR="007A3A3D" w:rsidRDefault="007A3A3D" w:rsidP="00B80C43">
      <w:pPr>
        <w:jc w:val="both"/>
        <w:rPr>
          <w:rFonts w:ascii="Times New Roman" w:hAnsi="Times New Roman" w:cs="Times New Roman"/>
        </w:rPr>
      </w:pPr>
    </w:p>
    <w:p w14:paraId="4B91D002" w14:textId="5CFE0C13" w:rsidR="009C7B91" w:rsidRDefault="006F235C" w:rsidP="00B80C43">
      <w:pPr>
        <w:jc w:val="both"/>
        <w:rPr>
          <w:rFonts w:ascii="Times New Roman" w:hAnsi="Times New Roman" w:cs="Times New Roman"/>
        </w:rPr>
      </w:pPr>
      <w:r>
        <w:rPr>
          <w:rFonts w:ascii="Times New Roman" w:hAnsi="Times New Roman" w:cs="Times New Roman"/>
        </w:rPr>
        <w:t xml:space="preserve">Moving on, </w:t>
      </w:r>
      <w:r w:rsidR="00CF4405">
        <w:rPr>
          <w:rFonts w:ascii="Times New Roman" w:hAnsi="Times New Roman" w:cs="Times New Roman"/>
        </w:rPr>
        <w:t xml:space="preserve">Dagan and Heller read Raz to </w:t>
      </w:r>
      <w:r w:rsidR="0040503A">
        <w:rPr>
          <w:rFonts w:ascii="Times New Roman" w:hAnsi="Times New Roman" w:cs="Times New Roman"/>
        </w:rPr>
        <w:t>say that ‘</w:t>
      </w:r>
      <w:r w:rsidR="0040503A">
        <w:rPr>
          <w:rFonts w:ascii="Times New Roman" w:hAnsi="Times New Roman" w:cs="Times New Roman"/>
        </w:rPr>
        <w:t xml:space="preserve">freedom requires individuals to be able to choose from among </w:t>
      </w:r>
      <w:r w:rsidR="0040503A" w:rsidRPr="0040503A">
        <w:rPr>
          <w:rFonts w:ascii="Times New Roman" w:hAnsi="Times New Roman" w:cs="Times New Roman"/>
          <w:i/>
          <w:iCs/>
        </w:rPr>
        <w:t>options they deem valuable</w:t>
      </w:r>
      <w:r w:rsidR="00223858">
        <w:rPr>
          <w:rFonts w:ascii="Times New Roman" w:hAnsi="Times New Roman" w:cs="Times New Roman"/>
        </w:rPr>
        <w:t>’(my italics)</w:t>
      </w:r>
      <w:r w:rsidR="0040503A">
        <w:rPr>
          <w:rFonts w:ascii="Times New Roman" w:hAnsi="Times New Roman" w:cs="Times New Roman"/>
        </w:rPr>
        <w:t>.</w:t>
      </w:r>
      <w:r w:rsidR="00E107A3">
        <w:rPr>
          <w:rFonts w:ascii="Times New Roman" w:hAnsi="Times New Roman" w:cs="Times New Roman"/>
        </w:rPr>
        <w:t xml:space="preserve"> Again, I am not sure that what a person ‘deems to be valuable’ </w:t>
      </w:r>
      <w:r w:rsidR="005F7A12">
        <w:rPr>
          <w:rFonts w:ascii="Times New Roman" w:hAnsi="Times New Roman" w:cs="Times New Roman"/>
        </w:rPr>
        <w:t xml:space="preserve">has much role to play in </w:t>
      </w:r>
      <w:proofErr w:type="spellStart"/>
      <w:r w:rsidR="005F7A12">
        <w:rPr>
          <w:rFonts w:ascii="Times New Roman" w:hAnsi="Times New Roman" w:cs="Times New Roman"/>
        </w:rPr>
        <w:t>Razian</w:t>
      </w:r>
      <w:proofErr w:type="spellEnd"/>
      <w:r w:rsidR="005F7A12">
        <w:rPr>
          <w:rFonts w:ascii="Times New Roman" w:hAnsi="Times New Roman" w:cs="Times New Roman"/>
        </w:rPr>
        <w:t xml:space="preserve"> autonomy. As I understand the picture, what matters are that </w:t>
      </w:r>
      <w:r w:rsidR="00A72DBF">
        <w:rPr>
          <w:rFonts w:ascii="Times New Roman" w:hAnsi="Times New Roman" w:cs="Times New Roman"/>
        </w:rPr>
        <w:t xml:space="preserve">there are </w:t>
      </w:r>
      <w:r w:rsidR="00A72DBF" w:rsidRPr="00215E18">
        <w:rPr>
          <w:rFonts w:ascii="Times New Roman" w:hAnsi="Times New Roman" w:cs="Times New Roman"/>
          <w:i/>
          <w:iCs/>
        </w:rPr>
        <w:t>genuinely</w:t>
      </w:r>
      <w:r w:rsidR="00A72DBF">
        <w:rPr>
          <w:rFonts w:ascii="Times New Roman" w:hAnsi="Times New Roman" w:cs="Times New Roman"/>
        </w:rPr>
        <w:t xml:space="preserve"> valuable options available, which is not a matter of choice or opinion, though as we have seen, under the rubric of ‘self-creation’ the choice to pursue a particular valuable option can express commitment to it. </w:t>
      </w:r>
      <w:r w:rsidR="00277707">
        <w:rPr>
          <w:rFonts w:ascii="Times New Roman" w:hAnsi="Times New Roman" w:cs="Times New Roman"/>
        </w:rPr>
        <w:t xml:space="preserve">This gives rise to another addition to, or departure from, </w:t>
      </w:r>
      <w:proofErr w:type="spellStart"/>
      <w:r w:rsidR="00277707">
        <w:rPr>
          <w:rFonts w:ascii="Times New Roman" w:hAnsi="Times New Roman" w:cs="Times New Roman"/>
        </w:rPr>
        <w:t>Razian</w:t>
      </w:r>
      <w:proofErr w:type="spellEnd"/>
      <w:r w:rsidR="00277707">
        <w:rPr>
          <w:rFonts w:ascii="Times New Roman" w:hAnsi="Times New Roman" w:cs="Times New Roman"/>
        </w:rPr>
        <w:t xml:space="preserve"> autonomy, </w:t>
      </w:r>
      <w:r w:rsidR="00FC625A">
        <w:rPr>
          <w:rFonts w:ascii="Times New Roman" w:hAnsi="Times New Roman" w:cs="Times New Roman"/>
        </w:rPr>
        <w:t>Dagan’s and Heller’s incorporation of Rawlsian conceptions of the good</w:t>
      </w:r>
      <w:r w:rsidR="005B575D">
        <w:rPr>
          <w:rFonts w:ascii="Times New Roman" w:hAnsi="Times New Roman" w:cs="Times New Roman"/>
        </w:rPr>
        <w:t xml:space="preserve"> into their picture of autonomy/self-determination.</w:t>
      </w:r>
    </w:p>
    <w:p w14:paraId="19222A8B" w14:textId="4EC6D0B7" w:rsidR="009A5D91" w:rsidRDefault="009A5D91" w:rsidP="00B80C43">
      <w:pPr>
        <w:jc w:val="both"/>
        <w:rPr>
          <w:rFonts w:ascii="Times New Roman" w:hAnsi="Times New Roman" w:cs="Times New Roman"/>
        </w:rPr>
      </w:pPr>
    </w:p>
    <w:p w14:paraId="3C41DB7D" w14:textId="29B10BC1" w:rsidR="009A5D91" w:rsidRPr="004B4C16" w:rsidRDefault="009A5D91" w:rsidP="00B80C43">
      <w:pPr>
        <w:jc w:val="both"/>
        <w:rPr>
          <w:rFonts w:ascii="Times New Roman" w:hAnsi="Times New Roman" w:cs="Times New Roman"/>
        </w:rPr>
      </w:pPr>
      <w:r>
        <w:rPr>
          <w:rFonts w:ascii="Times New Roman" w:hAnsi="Times New Roman" w:cs="Times New Roman"/>
        </w:rPr>
        <w:t>In the last but one quotation</w:t>
      </w:r>
      <w:r w:rsidR="004B4C16">
        <w:rPr>
          <w:rFonts w:ascii="Times New Roman" w:hAnsi="Times New Roman" w:cs="Times New Roman"/>
        </w:rPr>
        <w:t xml:space="preserve"> from Dagan and Heller,</w:t>
      </w:r>
      <w:r w:rsidR="0009657D">
        <w:rPr>
          <w:rStyle w:val="FootnoteReference"/>
          <w:rFonts w:ascii="Times New Roman" w:hAnsi="Times New Roman" w:cs="Times New Roman"/>
        </w:rPr>
        <w:footnoteReference w:id="60"/>
      </w:r>
      <w:r w:rsidR="004B4C16">
        <w:rPr>
          <w:rFonts w:ascii="Times New Roman" w:hAnsi="Times New Roman" w:cs="Times New Roman"/>
        </w:rPr>
        <w:t xml:space="preserve"> they do cite passages from </w:t>
      </w:r>
      <w:r w:rsidR="004B4C16">
        <w:rPr>
          <w:rFonts w:ascii="Times New Roman" w:hAnsi="Times New Roman" w:cs="Times New Roman"/>
          <w:i/>
          <w:iCs/>
        </w:rPr>
        <w:t>The Morality of Freedom</w:t>
      </w:r>
      <w:r w:rsidR="004B4C16">
        <w:rPr>
          <w:rFonts w:ascii="Times New Roman" w:hAnsi="Times New Roman" w:cs="Times New Roman"/>
        </w:rPr>
        <w:t xml:space="preserve"> which </w:t>
      </w:r>
      <w:r w:rsidR="006377DE">
        <w:rPr>
          <w:rFonts w:ascii="Times New Roman" w:hAnsi="Times New Roman" w:cs="Times New Roman"/>
        </w:rPr>
        <w:t xml:space="preserve">support the state’s involvement in </w:t>
      </w:r>
      <w:r w:rsidR="008E2112">
        <w:rPr>
          <w:rFonts w:ascii="Times New Roman" w:hAnsi="Times New Roman" w:cs="Times New Roman"/>
        </w:rPr>
        <w:t xml:space="preserve">helping people pursue their conceptions of the good. But as I read these passages, I do not find that Raz has set out any particular theory of what a conception of the good amounts to. In these passages he is concerned </w:t>
      </w:r>
      <w:r w:rsidR="000F12E0">
        <w:rPr>
          <w:rFonts w:ascii="Times New Roman" w:hAnsi="Times New Roman" w:cs="Times New Roman"/>
        </w:rPr>
        <w:t>to argue that the fact that individuals have different conceptions of the good, or the good life, does not mean that the state must be neutral as between them</w:t>
      </w:r>
      <w:r w:rsidR="0047128C">
        <w:rPr>
          <w:rFonts w:ascii="Times New Roman" w:hAnsi="Times New Roman" w:cs="Times New Roman"/>
        </w:rPr>
        <w:t>—his aim is to show that the anti-</w:t>
      </w:r>
      <w:proofErr w:type="spellStart"/>
      <w:r w:rsidR="0047128C">
        <w:rPr>
          <w:rFonts w:ascii="Times New Roman" w:hAnsi="Times New Roman" w:cs="Times New Roman"/>
        </w:rPr>
        <w:t>perfectonist</w:t>
      </w:r>
      <w:proofErr w:type="spellEnd"/>
      <w:r w:rsidR="0047128C">
        <w:rPr>
          <w:rFonts w:ascii="Times New Roman" w:hAnsi="Times New Roman" w:cs="Times New Roman"/>
        </w:rPr>
        <w:t xml:space="preserve"> argument for </w:t>
      </w:r>
      <w:r w:rsidR="00AF5802">
        <w:rPr>
          <w:rFonts w:ascii="Times New Roman" w:hAnsi="Times New Roman" w:cs="Times New Roman"/>
        </w:rPr>
        <w:t xml:space="preserve">this ‘neutrality’ is a bad one. </w:t>
      </w:r>
      <w:r w:rsidR="00BE2197">
        <w:rPr>
          <w:rFonts w:ascii="Times New Roman" w:hAnsi="Times New Roman" w:cs="Times New Roman"/>
        </w:rPr>
        <w:t>And –as always it is difficult to prove a negative—I do</w:t>
      </w:r>
      <w:r w:rsidR="00C1165D">
        <w:rPr>
          <w:rFonts w:ascii="Times New Roman" w:hAnsi="Times New Roman" w:cs="Times New Roman"/>
        </w:rPr>
        <w:t xml:space="preserve"> not see any passages in which </w:t>
      </w:r>
      <w:r w:rsidR="00B75A35">
        <w:rPr>
          <w:rFonts w:ascii="Times New Roman" w:hAnsi="Times New Roman" w:cs="Times New Roman"/>
        </w:rPr>
        <w:t>Raz</w:t>
      </w:r>
      <w:r w:rsidR="00C1165D">
        <w:rPr>
          <w:rFonts w:ascii="Times New Roman" w:hAnsi="Times New Roman" w:cs="Times New Roman"/>
        </w:rPr>
        <w:t xml:space="preserve"> treats pursuit of one’s conception of the good as equivalent to leading an autonomous life. Of course, as we have already seen, </w:t>
      </w:r>
      <w:r w:rsidR="004C71DF">
        <w:rPr>
          <w:rFonts w:ascii="Times New Roman" w:hAnsi="Times New Roman" w:cs="Times New Roman"/>
        </w:rPr>
        <w:t>acting autonomously is only of value when there are valuable options to pursue,</w:t>
      </w:r>
      <w:r w:rsidR="00B75A35">
        <w:rPr>
          <w:rStyle w:val="FootnoteReference"/>
          <w:rFonts w:ascii="Times New Roman" w:hAnsi="Times New Roman" w:cs="Times New Roman"/>
        </w:rPr>
        <w:footnoteReference w:id="61"/>
      </w:r>
      <w:r w:rsidR="004C71DF">
        <w:rPr>
          <w:rFonts w:ascii="Times New Roman" w:hAnsi="Times New Roman" w:cs="Times New Roman"/>
        </w:rPr>
        <w:t xml:space="preserve"> but that is not the same thing as aiming to lead a life in conformity to one’s conception of the good, or the good life</w:t>
      </w:r>
      <w:r w:rsidR="00E5606E">
        <w:rPr>
          <w:rFonts w:ascii="Times New Roman" w:hAnsi="Times New Roman" w:cs="Times New Roman"/>
        </w:rPr>
        <w:t>, whatever that precisely means.</w:t>
      </w:r>
    </w:p>
    <w:p w14:paraId="79B79A4F" w14:textId="13A7B69F" w:rsidR="005B575D" w:rsidRDefault="005B575D" w:rsidP="00B80C43">
      <w:pPr>
        <w:jc w:val="both"/>
        <w:rPr>
          <w:rFonts w:ascii="Times New Roman" w:hAnsi="Times New Roman" w:cs="Times New Roman"/>
        </w:rPr>
      </w:pPr>
    </w:p>
    <w:p w14:paraId="2415B739" w14:textId="6B9EE4D5" w:rsidR="005B575D" w:rsidRDefault="005B575D" w:rsidP="00B80C43">
      <w:pPr>
        <w:jc w:val="both"/>
        <w:rPr>
          <w:rFonts w:ascii="Times New Roman" w:hAnsi="Times New Roman" w:cs="Times New Roman"/>
        </w:rPr>
      </w:pPr>
      <w:r>
        <w:rPr>
          <w:rFonts w:ascii="Times New Roman" w:hAnsi="Times New Roman" w:cs="Times New Roman"/>
        </w:rPr>
        <w:t xml:space="preserve">It is well beyond the scope of this paper to </w:t>
      </w:r>
      <w:r w:rsidR="00A830F1">
        <w:rPr>
          <w:rFonts w:ascii="Times New Roman" w:hAnsi="Times New Roman" w:cs="Times New Roman"/>
        </w:rPr>
        <w:t xml:space="preserve">pinpoint exactly what counts as a </w:t>
      </w:r>
      <w:r w:rsidR="009B0397">
        <w:rPr>
          <w:rFonts w:ascii="Times New Roman" w:hAnsi="Times New Roman" w:cs="Times New Roman"/>
        </w:rPr>
        <w:t xml:space="preserve">conception of the good, or the conception of a good life, </w:t>
      </w:r>
      <w:r w:rsidR="00756084">
        <w:rPr>
          <w:rFonts w:ascii="Times New Roman" w:hAnsi="Times New Roman" w:cs="Times New Roman"/>
        </w:rPr>
        <w:t xml:space="preserve">whether in its Rawlsian version or otherwise, </w:t>
      </w:r>
      <w:r w:rsidR="009B0397">
        <w:rPr>
          <w:rFonts w:ascii="Times New Roman" w:hAnsi="Times New Roman" w:cs="Times New Roman"/>
        </w:rPr>
        <w:t xml:space="preserve">though I think it fair to say that it does have some voluntaristic element, something to do with what a person </w:t>
      </w:r>
      <w:r w:rsidR="00D6381D">
        <w:rPr>
          <w:rFonts w:ascii="Times New Roman" w:hAnsi="Times New Roman" w:cs="Times New Roman"/>
        </w:rPr>
        <w:t>‘</w:t>
      </w:r>
      <w:r w:rsidR="009B0397">
        <w:rPr>
          <w:rFonts w:ascii="Times New Roman" w:hAnsi="Times New Roman" w:cs="Times New Roman"/>
        </w:rPr>
        <w:t>deems to be valuable</w:t>
      </w:r>
      <w:r w:rsidR="00D6381D">
        <w:rPr>
          <w:rFonts w:ascii="Times New Roman" w:hAnsi="Times New Roman" w:cs="Times New Roman"/>
        </w:rPr>
        <w:t>’</w:t>
      </w:r>
      <w:r w:rsidR="009B0397">
        <w:rPr>
          <w:rFonts w:ascii="Times New Roman" w:hAnsi="Times New Roman" w:cs="Times New Roman"/>
        </w:rPr>
        <w:t xml:space="preserve">. </w:t>
      </w:r>
      <w:r w:rsidR="001878DA">
        <w:rPr>
          <w:rFonts w:ascii="Times New Roman" w:hAnsi="Times New Roman" w:cs="Times New Roman"/>
        </w:rPr>
        <w:t xml:space="preserve">But </w:t>
      </w:r>
      <w:proofErr w:type="spellStart"/>
      <w:r w:rsidR="001878DA">
        <w:rPr>
          <w:rFonts w:ascii="Times New Roman" w:hAnsi="Times New Roman" w:cs="Times New Roman"/>
        </w:rPr>
        <w:t>Razian</w:t>
      </w:r>
      <w:proofErr w:type="spellEnd"/>
      <w:r w:rsidR="001878DA">
        <w:rPr>
          <w:rFonts w:ascii="Times New Roman" w:hAnsi="Times New Roman" w:cs="Times New Roman"/>
        </w:rPr>
        <w:t xml:space="preserve"> autonomy and the pursuit of a conception of the good life seem to be orthogonal to one another.</w:t>
      </w:r>
      <w:r w:rsidR="003169A0">
        <w:rPr>
          <w:rFonts w:ascii="Times New Roman" w:hAnsi="Times New Roman" w:cs="Times New Roman"/>
        </w:rPr>
        <w:t xml:space="preserve"> I take it that both of the following are </w:t>
      </w:r>
      <w:r w:rsidR="00A766D1">
        <w:rPr>
          <w:rFonts w:ascii="Times New Roman" w:hAnsi="Times New Roman" w:cs="Times New Roman"/>
        </w:rPr>
        <w:t xml:space="preserve">plainly </w:t>
      </w:r>
      <w:r w:rsidR="003169A0">
        <w:rPr>
          <w:rFonts w:ascii="Times New Roman" w:hAnsi="Times New Roman" w:cs="Times New Roman"/>
        </w:rPr>
        <w:t>true:</w:t>
      </w:r>
    </w:p>
    <w:p w14:paraId="3C651493" w14:textId="0CD32445" w:rsidR="003169A0" w:rsidRDefault="003169A0" w:rsidP="00B80C43">
      <w:pPr>
        <w:jc w:val="both"/>
        <w:rPr>
          <w:rFonts w:ascii="Times New Roman" w:hAnsi="Times New Roman" w:cs="Times New Roman"/>
        </w:rPr>
      </w:pPr>
    </w:p>
    <w:p w14:paraId="1B232EE1" w14:textId="7A14618B" w:rsidR="003169A0" w:rsidRDefault="00A419E9" w:rsidP="00A419E9">
      <w:pPr>
        <w:pStyle w:val="ListParagraph"/>
        <w:numPr>
          <w:ilvl w:val="0"/>
          <w:numId w:val="7"/>
        </w:numPr>
        <w:jc w:val="both"/>
        <w:rPr>
          <w:rFonts w:ascii="Times New Roman" w:hAnsi="Times New Roman" w:cs="Times New Roman"/>
        </w:rPr>
      </w:pPr>
      <w:r>
        <w:rPr>
          <w:rFonts w:ascii="Times New Roman" w:hAnsi="Times New Roman" w:cs="Times New Roman"/>
        </w:rPr>
        <w:t xml:space="preserve">One can lead a life which conforms with one’s conception of the good, or </w:t>
      </w:r>
      <w:r w:rsidR="00DE635E">
        <w:rPr>
          <w:rFonts w:ascii="Times New Roman" w:hAnsi="Times New Roman" w:cs="Times New Roman"/>
        </w:rPr>
        <w:t>the</w:t>
      </w:r>
      <w:r>
        <w:rPr>
          <w:rFonts w:ascii="Times New Roman" w:hAnsi="Times New Roman" w:cs="Times New Roman"/>
        </w:rPr>
        <w:t xml:space="preserve"> good life</w:t>
      </w:r>
      <w:r w:rsidR="00DE635E">
        <w:rPr>
          <w:rFonts w:ascii="Times New Roman" w:hAnsi="Times New Roman" w:cs="Times New Roman"/>
        </w:rPr>
        <w:t xml:space="preserve">, without </w:t>
      </w:r>
      <w:r w:rsidR="007A4666">
        <w:rPr>
          <w:rFonts w:ascii="Times New Roman" w:hAnsi="Times New Roman" w:cs="Times New Roman"/>
        </w:rPr>
        <w:t xml:space="preserve">its </w:t>
      </w:r>
      <w:r w:rsidR="00DE635E">
        <w:rPr>
          <w:rFonts w:ascii="Times New Roman" w:hAnsi="Times New Roman" w:cs="Times New Roman"/>
        </w:rPr>
        <w:t xml:space="preserve">being </w:t>
      </w:r>
      <w:r w:rsidR="007A4666">
        <w:rPr>
          <w:rFonts w:ascii="Times New Roman" w:hAnsi="Times New Roman" w:cs="Times New Roman"/>
        </w:rPr>
        <w:t xml:space="preserve">an </w:t>
      </w:r>
      <w:r w:rsidR="00DE635E">
        <w:rPr>
          <w:rFonts w:ascii="Times New Roman" w:hAnsi="Times New Roman" w:cs="Times New Roman"/>
        </w:rPr>
        <w:t>autonomous</w:t>
      </w:r>
      <w:r w:rsidR="007A4666">
        <w:rPr>
          <w:rFonts w:ascii="Times New Roman" w:hAnsi="Times New Roman" w:cs="Times New Roman"/>
        </w:rPr>
        <w:t xml:space="preserve"> life</w:t>
      </w:r>
      <w:r w:rsidR="00DE635E">
        <w:rPr>
          <w:rFonts w:ascii="Times New Roman" w:hAnsi="Times New Roman" w:cs="Times New Roman"/>
        </w:rPr>
        <w:t>.</w:t>
      </w:r>
    </w:p>
    <w:p w14:paraId="6BD9FE09" w14:textId="26633FAA" w:rsidR="00DE635E" w:rsidRPr="00A419E9" w:rsidRDefault="00DE635E" w:rsidP="00A419E9">
      <w:pPr>
        <w:pStyle w:val="ListParagraph"/>
        <w:numPr>
          <w:ilvl w:val="0"/>
          <w:numId w:val="7"/>
        </w:numPr>
        <w:jc w:val="both"/>
        <w:rPr>
          <w:rFonts w:ascii="Times New Roman" w:hAnsi="Times New Roman" w:cs="Times New Roman"/>
        </w:rPr>
      </w:pPr>
      <w:r>
        <w:rPr>
          <w:rFonts w:ascii="Times New Roman" w:hAnsi="Times New Roman" w:cs="Times New Roman"/>
        </w:rPr>
        <w:t>One can lead an autonomous life without leading a life with conforms with one’s conception of the good, or the good life.</w:t>
      </w:r>
    </w:p>
    <w:p w14:paraId="0F747264" w14:textId="52649A51" w:rsidR="00B80C43" w:rsidRDefault="00B80C43" w:rsidP="00B80C43">
      <w:pPr>
        <w:jc w:val="both"/>
        <w:rPr>
          <w:rFonts w:ascii="Times New Roman" w:hAnsi="Times New Roman" w:cs="Times New Roman"/>
        </w:rPr>
      </w:pPr>
    </w:p>
    <w:p w14:paraId="788105BD" w14:textId="5223E644" w:rsidR="00A766D1" w:rsidRDefault="00A766D1" w:rsidP="00B80C43">
      <w:pPr>
        <w:jc w:val="both"/>
        <w:rPr>
          <w:rFonts w:ascii="Times New Roman" w:hAnsi="Times New Roman" w:cs="Times New Roman"/>
        </w:rPr>
      </w:pPr>
      <w:r>
        <w:rPr>
          <w:rFonts w:ascii="Times New Roman" w:hAnsi="Times New Roman" w:cs="Times New Roman"/>
        </w:rPr>
        <w:t>As to (</w:t>
      </w:r>
      <w:r w:rsidR="008F505E">
        <w:rPr>
          <w:rFonts w:ascii="Times New Roman" w:hAnsi="Times New Roman" w:cs="Times New Roman"/>
        </w:rPr>
        <w:t>1), prior to the modern valuing of autonomy, many people surely lived lives conforming to their conception of the good life, for example</w:t>
      </w:r>
      <w:r w:rsidR="005F7571">
        <w:rPr>
          <w:rFonts w:ascii="Times New Roman" w:hAnsi="Times New Roman" w:cs="Times New Roman"/>
        </w:rPr>
        <w:t xml:space="preserve"> those for whom the good life was framed in terms of</w:t>
      </w:r>
      <w:r w:rsidR="00AA4B1C">
        <w:rPr>
          <w:rFonts w:ascii="Times New Roman" w:hAnsi="Times New Roman" w:cs="Times New Roman"/>
        </w:rPr>
        <w:t>, say,</w:t>
      </w:r>
      <w:r w:rsidR="005F7571">
        <w:rPr>
          <w:rFonts w:ascii="Times New Roman" w:hAnsi="Times New Roman" w:cs="Times New Roman"/>
        </w:rPr>
        <w:t xml:space="preserve"> </w:t>
      </w:r>
      <w:r w:rsidR="00331C6F">
        <w:rPr>
          <w:rFonts w:ascii="Times New Roman" w:hAnsi="Times New Roman" w:cs="Times New Roman"/>
        </w:rPr>
        <w:t xml:space="preserve">fulfilling their assigned role within </w:t>
      </w:r>
      <w:r w:rsidR="005F7571">
        <w:rPr>
          <w:rFonts w:ascii="Times New Roman" w:hAnsi="Times New Roman" w:cs="Times New Roman"/>
        </w:rPr>
        <w:t>a Christian community.</w:t>
      </w:r>
    </w:p>
    <w:p w14:paraId="5D112EFC" w14:textId="77445EC6" w:rsidR="005F7571" w:rsidRDefault="005F7571" w:rsidP="00B80C43">
      <w:pPr>
        <w:jc w:val="both"/>
        <w:rPr>
          <w:rFonts w:ascii="Times New Roman" w:hAnsi="Times New Roman" w:cs="Times New Roman"/>
        </w:rPr>
      </w:pPr>
    </w:p>
    <w:p w14:paraId="14F4BAFB" w14:textId="585D7F2D" w:rsidR="005F7571" w:rsidRDefault="005F7571" w:rsidP="00B80C43">
      <w:pPr>
        <w:jc w:val="both"/>
        <w:rPr>
          <w:rFonts w:ascii="Times New Roman" w:hAnsi="Times New Roman" w:cs="Times New Roman"/>
        </w:rPr>
      </w:pPr>
      <w:r>
        <w:rPr>
          <w:rFonts w:ascii="Times New Roman" w:hAnsi="Times New Roman" w:cs="Times New Roman"/>
        </w:rPr>
        <w:t>As to (2)</w:t>
      </w:r>
      <w:r w:rsidR="006F784D">
        <w:rPr>
          <w:rFonts w:ascii="Times New Roman" w:hAnsi="Times New Roman" w:cs="Times New Roman"/>
        </w:rPr>
        <w:t xml:space="preserve">, many people can rightly claim to have lived an autonomous life and be perfectly capable of giving a plausible answer to the question </w:t>
      </w:r>
      <w:r w:rsidR="007A19DC">
        <w:rPr>
          <w:rFonts w:ascii="Times New Roman" w:hAnsi="Times New Roman" w:cs="Times New Roman"/>
        </w:rPr>
        <w:t>‘W</w:t>
      </w:r>
      <w:r w:rsidR="006F784D">
        <w:rPr>
          <w:rFonts w:ascii="Times New Roman" w:hAnsi="Times New Roman" w:cs="Times New Roman"/>
        </w:rPr>
        <w:t>hat have you made of your life</w:t>
      </w:r>
      <w:r w:rsidR="007A19DC">
        <w:rPr>
          <w:rFonts w:ascii="Times New Roman" w:hAnsi="Times New Roman" w:cs="Times New Roman"/>
        </w:rPr>
        <w:t>?’</w:t>
      </w:r>
      <w:r w:rsidR="006F784D">
        <w:rPr>
          <w:rFonts w:ascii="Times New Roman" w:hAnsi="Times New Roman" w:cs="Times New Roman"/>
        </w:rPr>
        <w:t xml:space="preserve"> without in any way feeling that they were leading a </w:t>
      </w:r>
      <w:r w:rsidR="009826CB">
        <w:rPr>
          <w:rFonts w:ascii="Times New Roman" w:hAnsi="Times New Roman" w:cs="Times New Roman"/>
        </w:rPr>
        <w:t xml:space="preserve">life in conformity to their conception of the good life, </w:t>
      </w:r>
      <w:r w:rsidR="00474726">
        <w:rPr>
          <w:rFonts w:ascii="Times New Roman" w:hAnsi="Times New Roman" w:cs="Times New Roman"/>
        </w:rPr>
        <w:t>for example</w:t>
      </w:r>
      <w:r w:rsidR="009826CB">
        <w:rPr>
          <w:rFonts w:ascii="Times New Roman" w:hAnsi="Times New Roman" w:cs="Times New Roman"/>
        </w:rPr>
        <w:t xml:space="preserve"> segregationists</w:t>
      </w:r>
      <w:r w:rsidR="0037664D">
        <w:rPr>
          <w:rFonts w:ascii="Times New Roman" w:hAnsi="Times New Roman" w:cs="Times New Roman"/>
        </w:rPr>
        <w:t xml:space="preserve"> in the US at the present time.</w:t>
      </w:r>
      <w:r w:rsidR="00191D58">
        <w:rPr>
          <w:rStyle w:val="FootnoteReference"/>
          <w:rFonts w:ascii="Times New Roman" w:hAnsi="Times New Roman" w:cs="Times New Roman"/>
        </w:rPr>
        <w:footnoteReference w:id="62"/>
      </w:r>
      <w:r w:rsidR="00AA1130">
        <w:rPr>
          <w:rFonts w:ascii="Times New Roman" w:hAnsi="Times New Roman" w:cs="Times New Roman"/>
        </w:rPr>
        <w:t xml:space="preserve"> Or take my own case. I think I pass the test of having achieved an autonomous life in some measure at least, but</w:t>
      </w:r>
      <w:r w:rsidR="003164DE" w:rsidRPr="003164DE">
        <w:t xml:space="preserve"> </w:t>
      </w:r>
      <w:r w:rsidR="0069694B">
        <w:rPr>
          <w:rFonts w:ascii="Times New Roman" w:hAnsi="Times New Roman" w:cs="Times New Roman"/>
        </w:rPr>
        <w:t>a</w:t>
      </w:r>
      <w:r w:rsidR="003164DE" w:rsidRPr="003164DE">
        <w:rPr>
          <w:rFonts w:ascii="Times New Roman" w:hAnsi="Times New Roman" w:cs="Times New Roman"/>
        </w:rPr>
        <w:t>s an anarcho-socialist-anti-work</w:t>
      </w:r>
      <w:r w:rsidR="00B94EA9">
        <w:rPr>
          <w:rFonts w:ascii="Times New Roman" w:hAnsi="Times New Roman" w:cs="Times New Roman"/>
        </w:rPr>
        <w:t xml:space="preserve"> </w:t>
      </w:r>
      <w:r w:rsidR="003164DE" w:rsidRPr="003164DE">
        <w:rPr>
          <w:rFonts w:ascii="Times New Roman" w:hAnsi="Times New Roman" w:cs="Times New Roman"/>
        </w:rPr>
        <w:t>ethic-anti-consumerist-environmentalist no one</w:t>
      </w:r>
      <w:r w:rsidR="00461E2E">
        <w:rPr>
          <w:rFonts w:ascii="Times New Roman" w:hAnsi="Times New Roman" w:cs="Times New Roman"/>
        </w:rPr>
        <w:t xml:space="preserve"> today</w:t>
      </w:r>
      <w:r w:rsidR="003164DE" w:rsidRPr="003164DE">
        <w:rPr>
          <w:rFonts w:ascii="Times New Roman" w:hAnsi="Times New Roman" w:cs="Times New Roman"/>
        </w:rPr>
        <w:t xml:space="preserve"> leads my conception of the good life, least of all me. </w:t>
      </w:r>
      <w:r w:rsidR="001B5C2D">
        <w:rPr>
          <w:rFonts w:ascii="Times New Roman" w:hAnsi="Times New Roman" w:cs="Times New Roman"/>
        </w:rPr>
        <w:t xml:space="preserve">I try, more or less successfully, and with more or less diligence, not to thwart the principles that give shape to that conception, but there is no way I could attain it at present, for the </w:t>
      </w:r>
      <w:r w:rsidR="005366C5">
        <w:rPr>
          <w:rFonts w:ascii="Times New Roman" w:hAnsi="Times New Roman" w:cs="Times New Roman"/>
        </w:rPr>
        <w:t xml:space="preserve">present </w:t>
      </w:r>
      <w:r w:rsidR="001B5C2D">
        <w:rPr>
          <w:rFonts w:ascii="Times New Roman" w:hAnsi="Times New Roman" w:cs="Times New Roman"/>
        </w:rPr>
        <w:t>social circumstances simply do not permit it.</w:t>
      </w:r>
      <w:r w:rsidR="00B664D7">
        <w:rPr>
          <w:rFonts w:ascii="Times New Roman" w:hAnsi="Times New Roman" w:cs="Times New Roman"/>
        </w:rPr>
        <w:t xml:space="preserve"> </w:t>
      </w:r>
      <w:r w:rsidR="003164DE" w:rsidRPr="003164DE">
        <w:rPr>
          <w:rFonts w:ascii="Times New Roman" w:hAnsi="Times New Roman" w:cs="Times New Roman"/>
        </w:rPr>
        <w:t xml:space="preserve">It would be a job of work but I think I could present a fair argument that the only people on the planet who are living their genuine conception of the good life are </w:t>
      </w:r>
      <w:r w:rsidR="0069694B">
        <w:rPr>
          <w:rFonts w:ascii="Times New Roman" w:hAnsi="Times New Roman" w:cs="Times New Roman"/>
        </w:rPr>
        <w:t xml:space="preserve">some </w:t>
      </w:r>
      <w:r w:rsidR="00B90428">
        <w:rPr>
          <w:rFonts w:ascii="Times New Roman" w:hAnsi="Times New Roman" w:cs="Times New Roman"/>
        </w:rPr>
        <w:t xml:space="preserve">lucky </w:t>
      </w:r>
      <w:r w:rsidR="009F0110">
        <w:rPr>
          <w:rFonts w:ascii="Times New Roman" w:hAnsi="Times New Roman" w:cs="Times New Roman"/>
        </w:rPr>
        <w:t xml:space="preserve">amoral </w:t>
      </w:r>
      <w:r w:rsidR="003164DE" w:rsidRPr="003164DE">
        <w:rPr>
          <w:rFonts w:ascii="Times New Roman" w:hAnsi="Times New Roman" w:cs="Times New Roman"/>
        </w:rPr>
        <w:t>plutocrat</w:t>
      </w:r>
      <w:r w:rsidR="00B90428">
        <w:rPr>
          <w:rFonts w:ascii="Times New Roman" w:hAnsi="Times New Roman" w:cs="Times New Roman"/>
        </w:rPr>
        <w:t>s</w:t>
      </w:r>
      <w:r w:rsidR="003164DE" w:rsidRPr="003164DE">
        <w:rPr>
          <w:rFonts w:ascii="Times New Roman" w:hAnsi="Times New Roman" w:cs="Times New Roman"/>
        </w:rPr>
        <w:t>.</w:t>
      </w:r>
    </w:p>
    <w:p w14:paraId="4FA5639B" w14:textId="3FBA72FA" w:rsidR="00490F42" w:rsidRDefault="00490F42" w:rsidP="008F68D6">
      <w:pPr>
        <w:jc w:val="both"/>
        <w:rPr>
          <w:rFonts w:ascii="Times New Roman" w:hAnsi="Times New Roman" w:cs="Times New Roman"/>
        </w:rPr>
      </w:pPr>
    </w:p>
    <w:p w14:paraId="297EB024" w14:textId="0858C051" w:rsidR="000363BC" w:rsidRDefault="000363BC" w:rsidP="008F68D6">
      <w:pPr>
        <w:jc w:val="both"/>
        <w:rPr>
          <w:rFonts w:ascii="Times New Roman" w:hAnsi="Times New Roman" w:cs="Times New Roman"/>
        </w:rPr>
      </w:pPr>
      <w:r>
        <w:rPr>
          <w:rFonts w:ascii="Times New Roman" w:hAnsi="Times New Roman" w:cs="Times New Roman"/>
        </w:rPr>
        <w:t>To put the point shortly</w:t>
      </w:r>
      <w:r w:rsidR="00F8574D">
        <w:rPr>
          <w:rFonts w:ascii="Times New Roman" w:hAnsi="Times New Roman" w:cs="Times New Roman"/>
        </w:rPr>
        <w:t>:</w:t>
      </w:r>
      <w:r>
        <w:rPr>
          <w:rFonts w:ascii="Times New Roman" w:hAnsi="Times New Roman" w:cs="Times New Roman"/>
        </w:rPr>
        <w:t xml:space="preserve"> as I understand </w:t>
      </w:r>
      <w:proofErr w:type="spellStart"/>
      <w:r w:rsidR="00F8574D">
        <w:rPr>
          <w:rFonts w:ascii="Times New Roman" w:hAnsi="Times New Roman" w:cs="Times New Roman"/>
        </w:rPr>
        <w:t>Razian</w:t>
      </w:r>
      <w:proofErr w:type="spellEnd"/>
      <w:r w:rsidR="00F8574D">
        <w:rPr>
          <w:rFonts w:ascii="Times New Roman" w:hAnsi="Times New Roman" w:cs="Times New Roman"/>
        </w:rPr>
        <w:t xml:space="preserve"> autonomy, it is principally about the choice</w:t>
      </w:r>
      <w:r w:rsidR="00B82A0A">
        <w:rPr>
          <w:rFonts w:ascii="Times New Roman" w:hAnsi="Times New Roman" w:cs="Times New Roman"/>
        </w:rPr>
        <w:t>s</w:t>
      </w:r>
      <w:r w:rsidR="00F8574D">
        <w:rPr>
          <w:rFonts w:ascii="Times New Roman" w:hAnsi="Times New Roman" w:cs="Times New Roman"/>
        </w:rPr>
        <w:t xml:space="preserve"> one has oneself made, whereas conceptions of the good life, and whether they are realised</w:t>
      </w:r>
      <w:r w:rsidR="00C41751">
        <w:rPr>
          <w:rFonts w:ascii="Times New Roman" w:hAnsi="Times New Roman" w:cs="Times New Roman"/>
        </w:rPr>
        <w:t>,</w:t>
      </w:r>
      <w:r w:rsidR="00F8574D">
        <w:rPr>
          <w:rFonts w:ascii="Times New Roman" w:hAnsi="Times New Roman" w:cs="Times New Roman"/>
        </w:rPr>
        <w:t xml:space="preserve"> is inherently about the social circumstances one inhabits</w:t>
      </w:r>
      <w:r w:rsidR="00C41751">
        <w:rPr>
          <w:rFonts w:ascii="Times New Roman" w:hAnsi="Times New Roman" w:cs="Times New Roman"/>
        </w:rPr>
        <w:t>, circumstances which are never a matter of the choice of any individual</w:t>
      </w:r>
      <w:r w:rsidR="00A766D1">
        <w:rPr>
          <w:rFonts w:ascii="Times New Roman" w:hAnsi="Times New Roman" w:cs="Times New Roman"/>
        </w:rPr>
        <w:t>, but concern collective action.</w:t>
      </w:r>
    </w:p>
    <w:p w14:paraId="514B6BA8" w14:textId="6D918FA8" w:rsidR="00490F42" w:rsidRDefault="00490F42" w:rsidP="008F68D6">
      <w:pPr>
        <w:jc w:val="both"/>
        <w:rPr>
          <w:rFonts w:ascii="Times New Roman" w:hAnsi="Times New Roman" w:cs="Times New Roman"/>
        </w:rPr>
      </w:pPr>
    </w:p>
    <w:p w14:paraId="0B0E61E1" w14:textId="27DD372B" w:rsidR="00AC5E6F" w:rsidRDefault="00AC5E6F" w:rsidP="008F68D6">
      <w:pPr>
        <w:jc w:val="both"/>
        <w:rPr>
          <w:rFonts w:ascii="Times New Roman" w:hAnsi="Times New Roman" w:cs="Times New Roman"/>
        </w:rPr>
      </w:pPr>
      <w:r>
        <w:rPr>
          <w:rFonts w:ascii="Times New Roman" w:hAnsi="Times New Roman" w:cs="Times New Roman"/>
        </w:rPr>
        <w:t>Two further points for clarification.</w:t>
      </w:r>
      <w:r w:rsidR="00B65DDE">
        <w:rPr>
          <w:rFonts w:ascii="Times New Roman" w:hAnsi="Times New Roman" w:cs="Times New Roman"/>
        </w:rPr>
        <w:t xml:space="preserve"> None </w:t>
      </w:r>
      <w:r w:rsidR="00997C51">
        <w:rPr>
          <w:rFonts w:ascii="Times New Roman" w:hAnsi="Times New Roman" w:cs="Times New Roman"/>
        </w:rPr>
        <w:t xml:space="preserve">of what I have written turns on the dispute between Dagan </w:t>
      </w:r>
      <w:r w:rsidR="00B82A0A">
        <w:rPr>
          <w:rFonts w:ascii="Times New Roman" w:hAnsi="Times New Roman" w:cs="Times New Roman"/>
        </w:rPr>
        <w:t xml:space="preserve">and Heller </w:t>
      </w:r>
      <w:r w:rsidR="00997C51">
        <w:rPr>
          <w:rFonts w:ascii="Times New Roman" w:hAnsi="Times New Roman" w:cs="Times New Roman"/>
        </w:rPr>
        <w:t xml:space="preserve">and </w:t>
      </w:r>
      <w:r w:rsidR="00B82A0A">
        <w:rPr>
          <w:rFonts w:ascii="Times New Roman" w:hAnsi="Times New Roman" w:cs="Times New Roman"/>
        </w:rPr>
        <w:t>their</w:t>
      </w:r>
      <w:r w:rsidR="00997C51">
        <w:rPr>
          <w:rFonts w:ascii="Times New Roman" w:hAnsi="Times New Roman" w:cs="Times New Roman"/>
        </w:rPr>
        <w:t xml:space="preserve"> critics about what ‘counts’ as part of the law of contract, say, whether it is </w:t>
      </w:r>
      <w:r w:rsidR="000609FC">
        <w:rPr>
          <w:rFonts w:ascii="Times New Roman" w:hAnsi="Times New Roman" w:cs="Times New Roman"/>
        </w:rPr>
        <w:t>the common law or includes things like minimum wage legislation. To my mind there is a principled answer to this</w:t>
      </w:r>
      <w:r w:rsidR="002F7275">
        <w:rPr>
          <w:rFonts w:ascii="Times New Roman" w:hAnsi="Times New Roman" w:cs="Times New Roman"/>
        </w:rPr>
        <w:t xml:space="preserve"> – roughly whether the legislature perceives</w:t>
      </w:r>
      <w:r w:rsidR="009B6E5C">
        <w:rPr>
          <w:rFonts w:ascii="Times New Roman" w:hAnsi="Times New Roman" w:cs="Times New Roman"/>
        </w:rPr>
        <w:t>, when it acts, that</w:t>
      </w:r>
      <w:r w:rsidR="002F7275">
        <w:rPr>
          <w:rFonts w:ascii="Times New Roman" w:hAnsi="Times New Roman" w:cs="Times New Roman"/>
        </w:rPr>
        <w:t xml:space="preserve"> the common law </w:t>
      </w:r>
      <w:r w:rsidR="009B6E5C">
        <w:rPr>
          <w:rFonts w:ascii="Times New Roman" w:hAnsi="Times New Roman" w:cs="Times New Roman"/>
        </w:rPr>
        <w:t xml:space="preserve">has failed to address, or because </w:t>
      </w:r>
      <w:r w:rsidR="009D15D2">
        <w:rPr>
          <w:rFonts w:ascii="Times New Roman" w:hAnsi="Times New Roman" w:cs="Times New Roman"/>
        </w:rPr>
        <w:t xml:space="preserve">of </w:t>
      </w:r>
      <w:r w:rsidR="009B6E5C">
        <w:rPr>
          <w:rFonts w:ascii="Times New Roman" w:hAnsi="Times New Roman" w:cs="Times New Roman"/>
        </w:rPr>
        <w:t>the features of its law-creating powers</w:t>
      </w:r>
      <w:r w:rsidR="009C0839">
        <w:rPr>
          <w:rFonts w:ascii="Times New Roman" w:hAnsi="Times New Roman" w:cs="Times New Roman"/>
        </w:rPr>
        <w:t xml:space="preserve">, is incapable of addressing, its own </w:t>
      </w:r>
      <w:proofErr w:type="spellStart"/>
      <w:r w:rsidR="009C0839">
        <w:rPr>
          <w:rFonts w:ascii="Times New Roman" w:hAnsi="Times New Roman" w:cs="Times New Roman"/>
        </w:rPr>
        <w:t>inadaquacies</w:t>
      </w:r>
      <w:proofErr w:type="spellEnd"/>
      <w:r w:rsidR="009C0839">
        <w:rPr>
          <w:rFonts w:ascii="Times New Roman" w:hAnsi="Times New Roman" w:cs="Times New Roman"/>
        </w:rPr>
        <w:t xml:space="preserve"> </w:t>
      </w:r>
      <w:r w:rsidR="00EC08B3">
        <w:rPr>
          <w:rFonts w:ascii="Times New Roman" w:hAnsi="Times New Roman" w:cs="Times New Roman"/>
        </w:rPr>
        <w:t xml:space="preserve">in giving effect to the rules of rightful agency, or whether </w:t>
      </w:r>
      <w:r w:rsidR="00C876B4">
        <w:rPr>
          <w:rFonts w:ascii="Times New Roman" w:hAnsi="Times New Roman" w:cs="Times New Roman"/>
        </w:rPr>
        <w:t>the legislature</w:t>
      </w:r>
      <w:r w:rsidR="00EC08B3">
        <w:rPr>
          <w:rFonts w:ascii="Times New Roman" w:hAnsi="Times New Roman" w:cs="Times New Roman"/>
        </w:rPr>
        <w:t xml:space="preserve"> is aiming to do something else (</w:t>
      </w:r>
      <w:r w:rsidR="00A56D1B">
        <w:rPr>
          <w:rFonts w:ascii="Times New Roman" w:hAnsi="Times New Roman" w:cs="Times New Roman"/>
        </w:rPr>
        <w:t xml:space="preserve">inhibit or promote some activity for other reasons, </w:t>
      </w:r>
      <w:proofErr w:type="spellStart"/>
      <w:r w:rsidR="00650285">
        <w:rPr>
          <w:rFonts w:ascii="Times New Roman" w:hAnsi="Times New Roman" w:cs="Times New Roman"/>
        </w:rPr>
        <w:t>eg</w:t>
      </w:r>
      <w:proofErr w:type="spellEnd"/>
      <w:r w:rsidR="00650285">
        <w:rPr>
          <w:rFonts w:ascii="Times New Roman" w:hAnsi="Times New Roman" w:cs="Times New Roman"/>
        </w:rPr>
        <w:t xml:space="preserve"> dealing with </w:t>
      </w:r>
      <w:r w:rsidR="00A56D1B">
        <w:rPr>
          <w:rFonts w:ascii="Times New Roman" w:hAnsi="Times New Roman" w:cs="Times New Roman"/>
        </w:rPr>
        <w:t>climate change).</w:t>
      </w:r>
      <w:r w:rsidR="00965023">
        <w:rPr>
          <w:rFonts w:ascii="Times New Roman" w:hAnsi="Times New Roman" w:cs="Times New Roman"/>
        </w:rPr>
        <w:t xml:space="preserve"> But this is orthogonal to</w:t>
      </w:r>
      <w:r w:rsidR="00C876B4">
        <w:rPr>
          <w:rFonts w:ascii="Times New Roman" w:hAnsi="Times New Roman" w:cs="Times New Roman"/>
        </w:rPr>
        <w:t xml:space="preserve"> the matter under discussion</w:t>
      </w:r>
      <w:r w:rsidR="00965023">
        <w:rPr>
          <w:rFonts w:ascii="Times New Roman" w:hAnsi="Times New Roman" w:cs="Times New Roman"/>
        </w:rPr>
        <w:t>.</w:t>
      </w:r>
    </w:p>
    <w:p w14:paraId="20AEA94B" w14:textId="67A17856" w:rsidR="00965023" w:rsidRDefault="00965023" w:rsidP="008F68D6">
      <w:pPr>
        <w:jc w:val="both"/>
        <w:rPr>
          <w:rFonts w:ascii="Times New Roman" w:hAnsi="Times New Roman" w:cs="Times New Roman"/>
        </w:rPr>
      </w:pPr>
    </w:p>
    <w:p w14:paraId="62A8E730" w14:textId="74E4EF8B" w:rsidR="0052107B" w:rsidRDefault="00C27853" w:rsidP="008F68D6">
      <w:pPr>
        <w:jc w:val="both"/>
        <w:rPr>
          <w:rFonts w:ascii="Cambria" w:hAnsi="Cambria" w:cstheme="minorHAnsi"/>
          <w:lang w:val="en-US"/>
        </w:rPr>
      </w:pPr>
      <w:r>
        <w:rPr>
          <w:rFonts w:ascii="Times New Roman" w:hAnsi="Times New Roman" w:cs="Times New Roman"/>
        </w:rPr>
        <w:t xml:space="preserve">Second, </w:t>
      </w:r>
      <w:r w:rsidR="00BB1E8A">
        <w:rPr>
          <w:rFonts w:ascii="Times New Roman" w:hAnsi="Times New Roman" w:cs="Times New Roman"/>
        </w:rPr>
        <w:t xml:space="preserve">Gardner and others reject ‘liberal’ accounts of private law </w:t>
      </w:r>
      <w:r w:rsidR="009C4A0B">
        <w:rPr>
          <w:rFonts w:ascii="Times New Roman" w:hAnsi="Times New Roman" w:cs="Times New Roman"/>
        </w:rPr>
        <w:t>for being ahistorical.</w:t>
      </w:r>
      <w:r w:rsidR="009C4A0B">
        <w:rPr>
          <w:rStyle w:val="FootnoteReference"/>
          <w:rFonts w:ascii="Times New Roman" w:hAnsi="Times New Roman" w:cs="Times New Roman"/>
        </w:rPr>
        <w:footnoteReference w:id="63"/>
      </w:r>
      <w:r w:rsidR="009C4A0B">
        <w:rPr>
          <w:rFonts w:ascii="Times New Roman" w:hAnsi="Times New Roman" w:cs="Times New Roman"/>
        </w:rPr>
        <w:t xml:space="preserve"> </w:t>
      </w:r>
      <w:r w:rsidR="00B6699E">
        <w:rPr>
          <w:rFonts w:ascii="Cambria" w:hAnsi="Cambria" w:cstheme="minorHAnsi"/>
          <w:lang w:val="en-US"/>
        </w:rPr>
        <w:t xml:space="preserve">The </w:t>
      </w:r>
      <w:r w:rsidR="005C0D85">
        <w:rPr>
          <w:rFonts w:ascii="Cambria" w:hAnsi="Cambria" w:cstheme="minorHAnsi"/>
          <w:lang w:val="en-US"/>
        </w:rPr>
        <w:t>central doctrines of the common law and equity were settled long before liberalism showed up, an</w:t>
      </w:r>
      <w:r w:rsidR="00084B47">
        <w:rPr>
          <w:rFonts w:ascii="Cambria" w:hAnsi="Cambria" w:cstheme="minorHAnsi"/>
          <w:lang w:val="en-US"/>
        </w:rPr>
        <w:t>d this applies even more so, obviously, to Raz’s specific version of liberalism</w:t>
      </w:r>
      <w:r w:rsidR="005E7629">
        <w:rPr>
          <w:rFonts w:ascii="Cambria" w:hAnsi="Cambria" w:cstheme="minorHAnsi"/>
          <w:lang w:val="en-US"/>
        </w:rPr>
        <w:t>, or Dagan’s</w:t>
      </w:r>
      <w:r w:rsidR="00080DA4">
        <w:rPr>
          <w:rFonts w:ascii="Cambria" w:hAnsi="Cambria" w:cstheme="minorHAnsi"/>
          <w:lang w:val="en-US"/>
        </w:rPr>
        <w:t xml:space="preserve"> and Heller’s</w:t>
      </w:r>
      <w:r w:rsidR="005E7629">
        <w:rPr>
          <w:rFonts w:ascii="Cambria" w:hAnsi="Cambria" w:cstheme="minorHAnsi"/>
          <w:lang w:val="en-US"/>
        </w:rPr>
        <w:t xml:space="preserve">.  But here, I think, Dagan </w:t>
      </w:r>
      <w:r w:rsidR="00080DA4">
        <w:rPr>
          <w:rFonts w:ascii="Cambria" w:hAnsi="Cambria" w:cstheme="minorHAnsi"/>
          <w:lang w:val="en-US"/>
        </w:rPr>
        <w:t xml:space="preserve">and Heller </w:t>
      </w:r>
      <w:r w:rsidR="005E7629">
        <w:rPr>
          <w:rFonts w:ascii="Cambria" w:hAnsi="Cambria" w:cstheme="minorHAnsi"/>
          <w:lang w:val="en-US"/>
        </w:rPr>
        <w:t xml:space="preserve">do have a leg to stand on, and a </w:t>
      </w:r>
      <w:proofErr w:type="spellStart"/>
      <w:r w:rsidR="005E7629">
        <w:rPr>
          <w:rFonts w:ascii="Cambria" w:hAnsi="Cambria" w:cstheme="minorHAnsi"/>
          <w:lang w:val="en-US"/>
        </w:rPr>
        <w:t>Razian</w:t>
      </w:r>
      <w:proofErr w:type="spellEnd"/>
      <w:r w:rsidR="005E7629">
        <w:rPr>
          <w:rFonts w:ascii="Cambria" w:hAnsi="Cambria" w:cstheme="minorHAnsi"/>
          <w:lang w:val="en-US"/>
        </w:rPr>
        <w:t xml:space="preserve"> </w:t>
      </w:r>
      <w:r w:rsidR="004831AD">
        <w:rPr>
          <w:rFonts w:ascii="Cambria" w:hAnsi="Cambria" w:cstheme="minorHAnsi"/>
          <w:lang w:val="en-US"/>
        </w:rPr>
        <w:t>leg</w:t>
      </w:r>
      <w:r w:rsidR="005E7629">
        <w:rPr>
          <w:rFonts w:ascii="Cambria" w:hAnsi="Cambria" w:cstheme="minorHAnsi"/>
          <w:lang w:val="en-US"/>
        </w:rPr>
        <w:t xml:space="preserve"> </w:t>
      </w:r>
      <w:r w:rsidR="00E27ED9">
        <w:rPr>
          <w:rFonts w:ascii="Cambria" w:hAnsi="Cambria" w:cstheme="minorHAnsi"/>
          <w:lang w:val="en-US"/>
        </w:rPr>
        <w:t>to boot.</w:t>
      </w:r>
      <w:r w:rsidR="003839F9">
        <w:rPr>
          <w:rFonts w:ascii="Cambria" w:hAnsi="Cambria" w:cstheme="minorHAnsi"/>
          <w:lang w:val="en-US"/>
        </w:rPr>
        <w:t xml:space="preserve"> Consider again the case of marriage which Raz discusses</w:t>
      </w:r>
      <w:r w:rsidR="000A2C03">
        <w:rPr>
          <w:rFonts w:ascii="Cambria" w:hAnsi="Cambria" w:cstheme="minorHAnsi"/>
          <w:lang w:val="en-US"/>
        </w:rPr>
        <w:t xml:space="preserve"> and we looked at above</w:t>
      </w:r>
      <w:r w:rsidR="003839F9">
        <w:rPr>
          <w:rFonts w:ascii="Cambria" w:hAnsi="Cambria" w:cstheme="minorHAnsi"/>
          <w:lang w:val="en-US"/>
        </w:rPr>
        <w:t>. Many of its forms have remained whilst its meaning has changed considerably</w:t>
      </w:r>
      <w:r w:rsidR="009A3C7B">
        <w:rPr>
          <w:rFonts w:ascii="Cambria" w:hAnsi="Cambria" w:cstheme="minorHAnsi"/>
          <w:lang w:val="en-US"/>
        </w:rPr>
        <w:t xml:space="preserve"> over time</w:t>
      </w:r>
      <w:r w:rsidR="003839F9">
        <w:rPr>
          <w:rFonts w:ascii="Cambria" w:hAnsi="Cambria" w:cstheme="minorHAnsi"/>
          <w:lang w:val="en-US"/>
        </w:rPr>
        <w:t xml:space="preserve">, which also altered the way in which it was justified and </w:t>
      </w:r>
      <w:r w:rsidR="00832418">
        <w:rPr>
          <w:rFonts w:ascii="Cambria" w:hAnsi="Cambria" w:cstheme="minorHAnsi"/>
          <w:lang w:val="en-US"/>
        </w:rPr>
        <w:t xml:space="preserve">was </w:t>
      </w:r>
      <w:r w:rsidR="003839F9">
        <w:rPr>
          <w:rFonts w:ascii="Cambria" w:hAnsi="Cambria" w:cstheme="minorHAnsi"/>
          <w:lang w:val="en-US"/>
        </w:rPr>
        <w:t xml:space="preserve">justifiable to contemporaries. </w:t>
      </w:r>
      <w:r w:rsidR="000D0208">
        <w:rPr>
          <w:rFonts w:ascii="Cambria" w:hAnsi="Cambria" w:cstheme="minorHAnsi"/>
          <w:lang w:val="en-US"/>
        </w:rPr>
        <w:t xml:space="preserve">I am doubtful that a case that the common law is very different </w:t>
      </w:r>
      <w:r w:rsidR="005938E9">
        <w:rPr>
          <w:rFonts w:ascii="Cambria" w:hAnsi="Cambria" w:cstheme="minorHAnsi"/>
          <w:lang w:val="en-US"/>
        </w:rPr>
        <w:t>could be made.</w:t>
      </w:r>
    </w:p>
    <w:p w14:paraId="6221099C" w14:textId="77777777" w:rsidR="005938E9" w:rsidRPr="008F68D6" w:rsidRDefault="005938E9" w:rsidP="008F68D6">
      <w:pPr>
        <w:jc w:val="both"/>
        <w:rPr>
          <w:rFonts w:ascii="Cambria" w:hAnsi="Cambria" w:cstheme="minorHAnsi"/>
          <w:lang w:val="en-US"/>
        </w:rPr>
      </w:pPr>
    </w:p>
    <w:p w14:paraId="6EA82243" w14:textId="77777777" w:rsidR="0052107B" w:rsidRPr="008F68D6" w:rsidRDefault="0052107B" w:rsidP="008F68D6">
      <w:pPr>
        <w:jc w:val="both"/>
        <w:rPr>
          <w:rFonts w:ascii="Cambria" w:hAnsi="Cambria" w:cstheme="minorHAnsi"/>
          <w:lang w:val="en-US"/>
        </w:rPr>
      </w:pPr>
    </w:p>
    <w:p w14:paraId="104C4AEA" w14:textId="370A7383" w:rsidR="0023162A" w:rsidRDefault="00EF2744" w:rsidP="008F68D6">
      <w:pPr>
        <w:pStyle w:val="ListParagraph"/>
        <w:numPr>
          <w:ilvl w:val="0"/>
          <w:numId w:val="2"/>
        </w:numPr>
        <w:jc w:val="both"/>
        <w:rPr>
          <w:rFonts w:ascii="Cambria" w:hAnsi="Cambria" w:cstheme="minorHAnsi"/>
          <w:lang w:val="en-US"/>
        </w:rPr>
      </w:pPr>
      <w:r>
        <w:rPr>
          <w:rFonts w:ascii="Cambria" w:hAnsi="Cambria" w:cstheme="minorHAnsi"/>
          <w:lang w:val="en-US"/>
        </w:rPr>
        <w:t>Conclusion</w:t>
      </w:r>
    </w:p>
    <w:p w14:paraId="22A6BD91" w14:textId="0726AC8C" w:rsidR="00937636" w:rsidRDefault="00937636" w:rsidP="00937636">
      <w:pPr>
        <w:ind w:left="360"/>
        <w:jc w:val="both"/>
        <w:rPr>
          <w:rFonts w:ascii="Cambria" w:hAnsi="Cambria" w:cstheme="minorHAnsi"/>
          <w:lang w:val="en-US"/>
        </w:rPr>
      </w:pPr>
    </w:p>
    <w:p w14:paraId="2164C225" w14:textId="504CFC66" w:rsidR="00937636" w:rsidRDefault="003701AF" w:rsidP="00EF2744">
      <w:pPr>
        <w:jc w:val="both"/>
        <w:rPr>
          <w:rFonts w:ascii="Cambria" w:hAnsi="Cambria" w:cstheme="minorHAnsi"/>
          <w:lang w:val="en-US"/>
        </w:rPr>
      </w:pPr>
      <w:r>
        <w:rPr>
          <w:rFonts w:ascii="Cambria" w:hAnsi="Cambria" w:cstheme="minorHAnsi"/>
          <w:lang w:val="en-US"/>
        </w:rPr>
        <w:t xml:space="preserve">I have explored what I understand to be Raz’s conception of </w:t>
      </w:r>
      <w:proofErr w:type="gramStart"/>
      <w:r>
        <w:rPr>
          <w:rFonts w:ascii="Cambria" w:hAnsi="Cambria" w:cstheme="minorHAnsi"/>
          <w:lang w:val="en-US"/>
        </w:rPr>
        <w:t>autonomy, and</w:t>
      </w:r>
      <w:proofErr w:type="gramEnd"/>
      <w:r>
        <w:rPr>
          <w:rFonts w:ascii="Cambria" w:hAnsi="Cambria" w:cstheme="minorHAnsi"/>
          <w:lang w:val="en-US"/>
        </w:rPr>
        <w:t xml:space="preserve"> raised doubts about it</w:t>
      </w:r>
      <w:r w:rsidR="001060E4">
        <w:rPr>
          <w:rFonts w:ascii="Cambria" w:hAnsi="Cambria" w:cstheme="minorHAnsi"/>
          <w:lang w:val="en-US"/>
        </w:rPr>
        <w:t>s</w:t>
      </w:r>
      <w:r>
        <w:rPr>
          <w:rFonts w:ascii="Cambria" w:hAnsi="Cambria" w:cstheme="minorHAnsi"/>
          <w:lang w:val="en-US"/>
        </w:rPr>
        <w:t xml:space="preserve"> relevance to private law outside </w:t>
      </w:r>
      <w:r w:rsidR="004F37AA">
        <w:rPr>
          <w:rFonts w:ascii="Cambria" w:hAnsi="Cambria" w:cstheme="minorHAnsi"/>
          <w:lang w:val="en-US"/>
        </w:rPr>
        <w:t xml:space="preserve">its contribution to the independence condition. </w:t>
      </w:r>
      <w:r w:rsidR="00282C46">
        <w:rPr>
          <w:rFonts w:ascii="Cambria" w:hAnsi="Cambria" w:cstheme="minorHAnsi"/>
          <w:lang w:val="en-US"/>
        </w:rPr>
        <w:t xml:space="preserve">Dagan’s and Heller’s work provided something of a testing ground for that claim. In conclusion I offer a few general thoughts about </w:t>
      </w:r>
      <w:r w:rsidR="0056774D">
        <w:rPr>
          <w:rFonts w:ascii="Cambria" w:hAnsi="Cambria" w:cstheme="minorHAnsi"/>
          <w:lang w:val="en-US"/>
        </w:rPr>
        <w:t xml:space="preserve">autonomy and private law, ones which perhaps stray from any particular </w:t>
      </w:r>
      <w:r w:rsidR="00E16876">
        <w:rPr>
          <w:rFonts w:ascii="Cambria" w:hAnsi="Cambria" w:cstheme="minorHAnsi"/>
          <w:lang w:val="en-US"/>
        </w:rPr>
        <w:t>conception of autonomy, in particular Raz’s.</w:t>
      </w:r>
    </w:p>
    <w:p w14:paraId="4357E889" w14:textId="77777777" w:rsidR="00162EF5" w:rsidRDefault="00162EF5" w:rsidP="00162EF5">
      <w:pPr>
        <w:pStyle w:val="ListParagraph"/>
        <w:jc w:val="both"/>
        <w:rPr>
          <w:rFonts w:ascii="Cambria" w:hAnsi="Cambria" w:cstheme="minorHAnsi"/>
          <w:lang w:val="en-US"/>
        </w:rPr>
      </w:pPr>
    </w:p>
    <w:p w14:paraId="3B0C508B" w14:textId="56FEF23E" w:rsidR="00405E2E" w:rsidRPr="0024700D" w:rsidRDefault="00F1678D" w:rsidP="0024700D">
      <w:pPr>
        <w:jc w:val="both"/>
        <w:rPr>
          <w:rFonts w:ascii="Cambria" w:hAnsi="Cambria" w:cstheme="minorHAnsi"/>
          <w:lang w:val="en-US"/>
        </w:rPr>
      </w:pPr>
      <w:r>
        <w:rPr>
          <w:rFonts w:ascii="Cambria" w:hAnsi="Cambria" w:cstheme="minorHAnsi"/>
          <w:lang w:val="en-US"/>
        </w:rPr>
        <w:t>First, o</w:t>
      </w:r>
      <w:r w:rsidR="00405E2E" w:rsidRPr="0024700D">
        <w:rPr>
          <w:rFonts w:ascii="Cambria" w:hAnsi="Cambria" w:cstheme="minorHAnsi"/>
          <w:lang w:val="en-US"/>
        </w:rPr>
        <w:t xml:space="preserve">ne of the things </w:t>
      </w:r>
      <w:r w:rsidR="0024700D">
        <w:rPr>
          <w:rFonts w:ascii="Cambria" w:hAnsi="Cambria" w:cstheme="minorHAnsi"/>
          <w:lang w:val="en-US"/>
        </w:rPr>
        <w:t xml:space="preserve">that </w:t>
      </w:r>
      <w:r w:rsidR="00405E2E" w:rsidRPr="0024700D">
        <w:rPr>
          <w:rFonts w:ascii="Cambria" w:hAnsi="Cambria" w:cstheme="minorHAnsi"/>
          <w:lang w:val="en-US"/>
        </w:rPr>
        <w:t xml:space="preserve">any autonomy theorist has to deal with is the issue of the rights of legal persons, principally companies, who figure so </w:t>
      </w:r>
      <w:r w:rsidR="00AB005E">
        <w:rPr>
          <w:rFonts w:ascii="Cambria" w:hAnsi="Cambria" w:cstheme="minorHAnsi"/>
          <w:lang w:val="en-US"/>
        </w:rPr>
        <w:t>prominently</w:t>
      </w:r>
      <w:r w:rsidR="00405E2E" w:rsidRPr="0024700D">
        <w:rPr>
          <w:rFonts w:ascii="Cambria" w:hAnsi="Cambria" w:cstheme="minorHAnsi"/>
          <w:lang w:val="en-US"/>
        </w:rPr>
        <w:t xml:space="preserve"> in </w:t>
      </w:r>
      <w:r w:rsidR="00AB005E">
        <w:rPr>
          <w:rFonts w:ascii="Cambria" w:hAnsi="Cambria" w:cstheme="minorHAnsi"/>
          <w:lang w:val="en-US"/>
        </w:rPr>
        <w:t xml:space="preserve">private law </w:t>
      </w:r>
      <w:r w:rsidR="00213548" w:rsidRPr="0024700D">
        <w:rPr>
          <w:rFonts w:ascii="Cambria" w:hAnsi="Cambria" w:cstheme="minorHAnsi"/>
          <w:lang w:val="en-US"/>
        </w:rPr>
        <w:t xml:space="preserve">litigation </w:t>
      </w:r>
      <w:r w:rsidR="007D4AF9">
        <w:rPr>
          <w:rFonts w:ascii="Cambria" w:hAnsi="Cambria" w:cstheme="minorHAnsi"/>
          <w:lang w:val="en-US"/>
        </w:rPr>
        <w:t>from the late nineteenth century onwards</w:t>
      </w:r>
      <w:r w:rsidR="00AB005E">
        <w:rPr>
          <w:rFonts w:ascii="Cambria" w:hAnsi="Cambria" w:cstheme="minorHAnsi"/>
          <w:lang w:val="en-US"/>
        </w:rPr>
        <w:t>. A</w:t>
      </w:r>
      <w:r w:rsidR="00213548" w:rsidRPr="0024700D">
        <w:rPr>
          <w:rFonts w:ascii="Cambria" w:hAnsi="Cambria" w:cstheme="minorHAnsi"/>
          <w:lang w:val="en-US"/>
        </w:rPr>
        <w:t xml:space="preserve"> legal person has no life, so no autonomous life, so has no autonomy interests. Now I suppose</w:t>
      </w:r>
      <w:r w:rsidR="0053356E" w:rsidRPr="0024700D">
        <w:rPr>
          <w:rFonts w:ascii="Cambria" w:hAnsi="Cambria" w:cstheme="minorHAnsi"/>
          <w:lang w:val="en-US"/>
        </w:rPr>
        <w:t xml:space="preserve"> that</w:t>
      </w:r>
      <w:r w:rsidR="00213548" w:rsidRPr="0024700D">
        <w:rPr>
          <w:rFonts w:ascii="Cambria" w:hAnsi="Cambria" w:cstheme="minorHAnsi"/>
          <w:lang w:val="en-US"/>
        </w:rPr>
        <w:t xml:space="preserve"> there is some theory which links the rights of legal </w:t>
      </w:r>
      <w:r w:rsidR="006C13A2" w:rsidRPr="0024700D">
        <w:rPr>
          <w:rFonts w:ascii="Cambria" w:hAnsi="Cambria" w:cstheme="minorHAnsi"/>
          <w:lang w:val="en-US"/>
        </w:rPr>
        <w:t xml:space="preserve">persons to natural persons so that enforcing the former’s private law rights indirectly enhances the latter’s interests </w:t>
      </w:r>
      <w:r w:rsidR="00C6224C" w:rsidRPr="0024700D">
        <w:rPr>
          <w:rFonts w:ascii="Cambria" w:hAnsi="Cambria" w:cstheme="minorHAnsi"/>
          <w:lang w:val="en-US"/>
        </w:rPr>
        <w:t>in personal autonomy</w:t>
      </w:r>
      <w:r w:rsidR="00AB100E" w:rsidRPr="0024700D">
        <w:rPr>
          <w:rFonts w:ascii="Cambria" w:hAnsi="Cambria" w:cstheme="minorHAnsi"/>
          <w:lang w:val="en-US"/>
        </w:rPr>
        <w:t>,</w:t>
      </w:r>
      <w:r w:rsidR="00C6224C" w:rsidRPr="0024700D">
        <w:rPr>
          <w:rFonts w:ascii="Cambria" w:hAnsi="Cambria" w:cstheme="minorHAnsi"/>
          <w:lang w:val="en-US"/>
        </w:rPr>
        <w:t xml:space="preserve"> but that </w:t>
      </w:r>
      <w:r w:rsidR="00A220D4">
        <w:rPr>
          <w:rFonts w:ascii="Cambria" w:hAnsi="Cambria" w:cstheme="minorHAnsi"/>
          <w:lang w:val="en-US"/>
        </w:rPr>
        <w:t xml:space="preserve">needs to be </w:t>
      </w:r>
      <w:r w:rsidR="00C6224C" w:rsidRPr="0024700D">
        <w:rPr>
          <w:rFonts w:ascii="Cambria" w:hAnsi="Cambria" w:cstheme="minorHAnsi"/>
          <w:lang w:val="en-US"/>
        </w:rPr>
        <w:t xml:space="preserve">spelled out. </w:t>
      </w:r>
    </w:p>
    <w:p w14:paraId="3CB13D0C" w14:textId="77777777" w:rsidR="003B793E" w:rsidRDefault="003B793E" w:rsidP="003B793E">
      <w:pPr>
        <w:pStyle w:val="ListParagraph"/>
        <w:jc w:val="both"/>
        <w:rPr>
          <w:rFonts w:ascii="Cambria" w:hAnsi="Cambria" w:cstheme="minorHAnsi"/>
          <w:lang w:val="en-US"/>
        </w:rPr>
      </w:pPr>
    </w:p>
    <w:p w14:paraId="0D252389" w14:textId="4A8B7945" w:rsidR="002B1599" w:rsidRPr="009A4D0C" w:rsidRDefault="00F1678D" w:rsidP="009A4D0C">
      <w:pPr>
        <w:jc w:val="both"/>
        <w:rPr>
          <w:rFonts w:ascii="Cambria" w:hAnsi="Cambria" w:cstheme="minorHAnsi"/>
          <w:lang w:val="en-US"/>
        </w:rPr>
      </w:pPr>
      <w:r>
        <w:rPr>
          <w:rFonts w:ascii="Cambria" w:hAnsi="Cambria" w:cstheme="minorHAnsi"/>
          <w:lang w:val="en-US"/>
        </w:rPr>
        <w:t>Second, o</w:t>
      </w:r>
      <w:r w:rsidR="00561376" w:rsidRPr="009A4D0C">
        <w:rPr>
          <w:rFonts w:ascii="Cambria" w:hAnsi="Cambria" w:cstheme="minorHAnsi"/>
          <w:lang w:val="en-US"/>
        </w:rPr>
        <w:t xml:space="preserve">ne of the problems </w:t>
      </w:r>
      <w:r w:rsidR="009A4D0C">
        <w:rPr>
          <w:rFonts w:ascii="Cambria" w:hAnsi="Cambria" w:cstheme="minorHAnsi"/>
          <w:lang w:val="en-US"/>
        </w:rPr>
        <w:t xml:space="preserve">of judging the law from the perspective of autonomy </w:t>
      </w:r>
      <w:r w:rsidR="00561376" w:rsidRPr="009A4D0C">
        <w:rPr>
          <w:rFonts w:ascii="Cambria" w:hAnsi="Cambria" w:cstheme="minorHAnsi"/>
          <w:lang w:val="en-US"/>
        </w:rPr>
        <w:t xml:space="preserve">is that the independence </w:t>
      </w:r>
      <w:r w:rsidR="00CB541D">
        <w:rPr>
          <w:rFonts w:ascii="Cambria" w:hAnsi="Cambria" w:cstheme="minorHAnsi"/>
          <w:lang w:val="en-US"/>
        </w:rPr>
        <w:t xml:space="preserve">condition may </w:t>
      </w:r>
      <w:r w:rsidR="00561376" w:rsidRPr="009A4D0C">
        <w:rPr>
          <w:rFonts w:ascii="Cambria" w:hAnsi="Cambria" w:cstheme="minorHAnsi"/>
          <w:lang w:val="en-US"/>
        </w:rPr>
        <w:t xml:space="preserve">in some respects </w:t>
      </w:r>
      <w:r w:rsidR="003B2152" w:rsidRPr="009A4D0C">
        <w:rPr>
          <w:rFonts w:ascii="Cambria" w:hAnsi="Cambria" w:cstheme="minorHAnsi"/>
          <w:lang w:val="en-US"/>
        </w:rPr>
        <w:t xml:space="preserve">overlap with the capacity condition. </w:t>
      </w:r>
      <w:r w:rsidR="003B2152" w:rsidRPr="009A4D0C">
        <w:rPr>
          <w:rFonts w:ascii="Cambria" w:hAnsi="Cambria" w:cstheme="minorHAnsi"/>
          <w:lang w:val="en-US"/>
        </w:rPr>
        <w:lastRenderedPageBreak/>
        <w:t>Consider the following from my own work</w:t>
      </w:r>
      <w:r w:rsidR="00C178D1">
        <w:rPr>
          <w:rFonts w:ascii="Cambria" w:hAnsi="Cambria" w:cstheme="minorHAnsi"/>
          <w:lang w:val="en-US"/>
        </w:rPr>
        <w:t>,</w:t>
      </w:r>
      <w:r w:rsidR="000D4F20">
        <w:rPr>
          <w:rStyle w:val="FootnoteReference"/>
          <w:rFonts w:ascii="Cambria" w:hAnsi="Cambria" w:cstheme="minorHAnsi"/>
          <w:lang w:val="en-US"/>
        </w:rPr>
        <w:footnoteReference w:id="64"/>
      </w:r>
      <w:r w:rsidR="00C178D1">
        <w:rPr>
          <w:rFonts w:ascii="Cambria" w:hAnsi="Cambria" w:cstheme="minorHAnsi"/>
          <w:lang w:val="en-US"/>
        </w:rPr>
        <w:t xml:space="preserve"> </w:t>
      </w:r>
      <w:r w:rsidR="003B2152" w:rsidRPr="009A4D0C">
        <w:rPr>
          <w:rFonts w:ascii="Cambria" w:hAnsi="Cambria" w:cstheme="minorHAnsi"/>
          <w:lang w:val="en-US"/>
        </w:rPr>
        <w:t>in which I myself spoke of autonomy</w:t>
      </w:r>
      <w:r w:rsidR="00750FAF" w:rsidRPr="009A4D0C">
        <w:rPr>
          <w:rFonts w:ascii="Cambria" w:hAnsi="Cambria" w:cstheme="minorHAnsi"/>
          <w:lang w:val="en-US"/>
        </w:rPr>
        <w:t xml:space="preserve">: does the discretionary beneficiary </w:t>
      </w:r>
      <w:r w:rsidR="009F7A6D" w:rsidRPr="009A4D0C">
        <w:rPr>
          <w:rFonts w:ascii="Cambria" w:hAnsi="Cambria" w:cstheme="minorHAnsi"/>
          <w:lang w:val="en-US"/>
        </w:rPr>
        <w:t>of a massively discretionary trust</w:t>
      </w:r>
      <w:r w:rsidR="00C178D1">
        <w:rPr>
          <w:rStyle w:val="FootnoteReference"/>
          <w:rFonts w:ascii="Cambria" w:hAnsi="Cambria" w:cstheme="minorHAnsi"/>
          <w:lang w:val="en-US"/>
        </w:rPr>
        <w:footnoteReference w:id="65"/>
      </w:r>
      <w:r w:rsidR="00AF1145">
        <w:rPr>
          <w:rFonts w:ascii="Cambria" w:hAnsi="Cambria" w:cstheme="minorHAnsi"/>
          <w:lang w:val="en-US"/>
        </w:rPr>
        <w:t xml:space="preserve"> </w:t>
      </w:r>
      <w:r w:rsidR="009F7A6D" w:rsidRPr="009A4D0C">
        <w:rPr>
          <w:rFonts w:ascii="Cambria" w:hAnsi="Cambria" w:cstheme="minorHAnsi"/>
          <w:lang w:val="en-US"/>
        </w:rPr>
        <w:t>suffer a diminution of his autonomy under th</w:t>
      </w:r>
      <w:r w:rsidR="00CB541D">
        <w:rPr>
          <w:rFonts w:ascii="Cambria" w:hAnsi="Cambria" w:cstheme="minorHAnsi"/>
          <w:lang w:val="en-US"/>
        </w:rPr>
        <w:t>is</w:t>
      </w:r>
      <w:r w:rsidR="009F7A6D" w:rsidRPr="009A4D0C">
        <w:rPr>
          <w:rFonts w:ascii="Cambria" w:hAnsi="Cambria" w:cstheme="minorHAnsi"/>
          <w:lang w:val="en-US"/>
        </w:rPr>
        <w:t xml:space="preserve"> arrangement? I </w:t>
      </w:r>
      <w:r w:rsidR="00897057" w:rsidRPr="009A4D0C">
        <w:rPr>
          <w:rFonts w:ascii="Cambria" w:hAnsi="Cambria" w:cstheme="minorHAnsi"/>
          <w:lang w:val="en-US"/>
        </w:rPr>
        <w:t xml:space="preserve">put the point in two ways – one, because property can be applied to his benefit without his acquiring title – say </w:t>
      </w:r>
      <w:r w:rsidR="00E96974" w:rsidRPr="009A4D0C">
        <w:rPr>
          <w:rFonts w:ascii="Cambria" w:hAnsi="Cambria" w:cstheme="minorHAnsi"/>
          <w:lang w:val="en-US"/>
        </w:rPr>
        <w:t xml:space="preserve">being licensed to reside in a property owned by the trust, and having a private company (owned by the trust) issue him </w:t>
      </w:r>
      <w:r w:rsidR="00CB6D79" w:rsidRPr="009A4D0C">
        <w:rPr>
          <w:rFonts w:ascii="Cambria" w:hAnsi="Cambria" w:cstheme="minorHAnsi"/>
          <w:lang w:val="en-US"/>
        </w:rPr>
        <w:t xml:space="preserve">a </w:t>
      </w:r>
      <w:r w:rsidR="00E96974" w:rsidRPr="009A4D0C">
        <w:rPr>
          <w:rFonts w:ascii="Cambria" w:hAnsi="Cambria" w:cstheme="minorHAnsi"/>
          <w:lang w:val="en-US"/>
        </w:rPr>
        <w:t xml:space="preserve">credit card </w:t>
      </w:r>
      <w:r w:rsidR="00E92689" w:rsidRPr="009A4D0C">
        <w:rPr>
          <w:rFonts w:ascii="Cambria" w:hAnsi="Cambria" w:cstheme="minorHAnsi"/>
          <w:lang w:val="en-US"/>
        </w:rPr>
        <w:t>whose bills are paid out of trusts funds, he is in a sense rich without being rich in a sense that his creditors could take advantage of</w:t>
      </w:r>
      <w:r w:rsidR="00A6191C">
        <w:rPr>
          <w:rFonts w:ascii="Cambria" w:hAnsi="Cambria" w:cstheme="minorHAnsi"/>
          <w:lang w:val="en-US"/>
        </w:rPr>
        <w:t xml:space="preserve"> his </w:t>
      </w:r>
      <w:r w:rsidR="00A6191C" w:rsidRPr="00947658">
        <w:rPr>
          <w:rFonts w:ascii="Cambria" w:hAnsi="Cambria" w:cstheme="minorHAnsi"/>
          <w:i/>
          <w:iCs/>
          <w:lang w:val="en-US"/>
        </w:rPr>
        <w:t>de facto</w:t>
      </w:r>
      <w:r w:rsidR="00A6191C">
        <w:rPr>
          <w:rFonts w:ascii="Cambria" w:hAnsi="Cambria" w:cstheme="minorHAnsi"/>
          <w:lang w:val="en-US"/>
        </w:rPr>
        <w:t xml:space="preserve"> wealth</w:t>
      </w:r>
      <w:r w:rsidR="00E92689" w:rsidRPr="009A4D0C">
        <w:rPr>
          <w:rFonts w:ascii="Cambria" w:hAnsi="Cambria" w:cstheme="minorHAnsi"/>
          <w:lang w:val="en-US"/>
        </w:rPr>
        <w:t>; in one sense this make</w:t>
      </w:r>
      <w:r w:rsidR="00CB6D79" w:rsidRPr="009A4D0C">
        <w:rPr>
          <w:rFonts w:ascii="Cambria" w:hAnsi="Cambria" w:cstheme="minorHAnsi"/>
          <w:lang w:val="en-US"/>
        </w:rPr>
        <w:t>s</w:t>
      </w:r>
      <w:r w:rsidR="00E92689" w:rsidRPr="009A4D0C">
        <w:rPr>
          <w:rFonts w:ascii="Cambria" w:hAnsi="Cambria" w:cstheme="minorHAnsi"/>
          <w:lang w:val="en-US"/>
        </w:rPr>
        <w:t xml:space="preserve"> him ‘legally irresponsible’.</w:t>
      </w:r>
      <w:r w:rsidR="001E3FEC" w:rsidRPr="009A4D0C">
        <w:rPr>
          <w:rFonts w:ascii="Cambria" w:hAnsi="Cambria" w:cstheme="minorHAnsi"/>
          <w:lang w:val="en-US"/>
        </w:rPr>
        <w:t xml:space="preserve"> Is that a diminution of his autonomy</w:t>
      </w:r>
      <w:r w:rsidR="00C96A28" w:rsidRPr="009A4D0C">
        <w:rPr>
          <w:rFonts w:ascii="Cambria" w:hAnsi="Cambria" w:cstheme="minorHAnsi"/>
          <w:lang w:val="en-US"/>
        </w:rPr>
        <w:t>, as someone who is ‘kept’</w:t>
      </w:r>
      <w:r w:rsidR="001E3FEC" w:rsidRPr="009A4D0C">
        <w:rPr>
          <w:rFonts w:ascii="Cambria" w:hAnsi="Cambria" w:cstheme="minorHAnsi"/>
          <w:lang w:val="en-US"/>
        </w:rPr>
        <w:t>?</w:t>
      </w:r>
      <w:r w:rsidR="00C96A28" w:rsidRPr="009A4D0C">
        <w:rPr>
          <w:rFonts w:ascii="Cambria" w:hAnsi="Cambria" w:cstheme="minorHAnsi"/>
          <w:lang w:val="en-US"/>
        </w:rPr>
        <w:t xml:space="preserve"> In another way</w:t>
      </w:r>
      <w:r w:rsidR="00492471" w:rsidRPr="009A4D0C">
        <w:rPr>
          <w:rFonts w:ascii="Cambria" w:hAnsi="Cambria" w:cstheme="minorHAnsi"/>
          <w:lang w:val="en-US"/>
        </w:rPr>
        <w:t xml:space="preserve"> the beneficiary, to the extent he has some entitlement to the trust funds, but only at the radical discretion of the trustee</w:t>
      </w:r>
      <w:r w:rsidR="00641460" w:rsidRPr="009A4D0C">
        <w:rPr>
          <w:rFonts w:ascii="Cambria" w:hAnsi="Cambria" w:cstheme="minorHAnsi"/>
          <w:lang w:val="en-US"/>
        </w:rPr>
        <w:t xml:space="preserve">, </w:t>
      </w:r>
      <w:r w:rsidR="006C23B1" w:rsidRPr="009A4D0C">
        <w:rPr>
          <w:rFonts w:ascii="Cambria" w:hAnsi="Cambria" w:cstheme="minorHAnsi"/>
          <w:lang w:val="en-US"/>
        </w:rPr>
        <w:t xml:space="preserve">could be said </w:t>
      </w:r>
      <w:r w:rsidR="00BF0ADB" w:rsidRPr="009A4D0C">
        <w:rPr>
          <w:rFonts w:ascii="Cambria" w:hAnsi="Cambria" w:cstheme="minorHAnsi"/>
          <w:lang w:val="en-US"/>
        </w:rPr>
        <w:t xml:space="preserve">to have had his autonomy in the sense of the </w:t>
      </w:r>
      <w:r w:rsidR="00641460" w:rsidRPr="009A4D0C">
        <w:rPr>
          <w:rFonts w:ascii="Cambria" w:hAnsi="Cambria" w:cstheme="minorHAnsi"/>
          <w:lang w:val="en-US"/>
        </w:rPr>
        <w:t xml:space="preserve">independence </w:t>
      </w:r>
      <w:r w:rsidR="00BF0ADB" w:rsidRPr="009A4D0C">
        <w:rPr>
          <w:rFonts w:ascii="Cambria" w:hAnsi="Cambria" w:cstheme="minorHAnsi"/>
          <w:lang w:val="en-US"/>
        </w:rPr>
        <w:t>condition</w:t>
      </w:r>
      <w:r w:rsidR="00641460" w:rsidRPr="009A4D0C">
        <w:rPr>
          <w:rFonts w:ascii="Cambria" w:hAnsi="Cambria" w:cstheme="minorHAnsi"/>
          <w:lang w:val="en-US"/>
        </w:rPr>
        <w:t xml:space="preserve"> diminished because he is subject to the other in respect of </w:t>
      </w:r>
      <w:r w:rsidR="009E67EC" w:rsidRPr="009A4D0C">
        <w:rPr>
          <w:rFonts w:ascii="Cambria" w:hAnsi="Cambria" w:cstheme="minorHAnsi"/>
          <w:i/>
          <w:iCs/>
          <w:lang w:val="en-US"/>
        </w:rPr>
        <w:t>his</w:t>
      </w:r>
      <w:r w:rsidR="009E67EC" w:rsidRPr="009A4D0C">
        <w:rPr>
          <w:rFonts w:ascii="Cambria" w:hAnsi="Cambria" w:cstheme="minorHAnsi"/>
          <w:lang w:val="en-US"/>
        </w:rPr>
        <w:t xml:space="preserve"> means. But one could also say this diminishes his </w:t>
      </w:r>
      <w:r w:rsidR="009E67EC" w:rsidRPr="009A4D0C">
        <w:rPr>
          <w:rFonts w:ascii="Cambria" w:hAnsi="Cambria" w:cstheme="minorHAnsi"/>
          <w:i/>
          <w:iCs/>
          <w:lang w:val="en-US"/>
        </w:rPr>
        <w:t>capacity</w:t>
      </w:r>
      <w:r w:rsidR="009E67EC" w:rsidRPr="009A4D0C">
        <w:rPr>
          <w:rFonts w:ascii="Cambria" w:hAnsi="Cambria" w:cstheme="minorHAnsi"/>
          <w:lang w:val="en-US"/>
        </w:rPr>
        <w:t xml:space="preserve"> for autonomy because he is being treated like an infant.</w:t>
      </w:r>
    </w:p>
    <w:p w14:paraId="1DAA7248" w14:textId="77777777" w:rsidR="003B793E" w:rsidRDefault="003B793E" w:rsidP="003B793E">
      <w:pPr>
        <w:pStyle w:val="ListParagraph"/>
        <w:jc w:val="both"/>
        <w:rPr>
          <w:rFonts w:ascii="Cambria" w:hAnsi="Cambria" w:cstheme="minorHAnsi"/>
          <w:lang w:val="en-US"/>
        </w:rPr>
      </w:pPr>
    </w:p>
    <w:p w14:paraId="4D454370" w14:textId="66D61D65" w:rsidR="00D2313F" w:rsidRPr="00115C09" w:rsidRDefault="00202D31" w:rsidP="00CB54A9">
      <w:pPr>
        <w:jc w:val="both"/>
        <w:rPr>
          <w:rFonts w:ascii="Cambria" w:hAnsi="Cambria" w:cstheme="minorHAnsi"/>
          <w:lang w:val="en-US"/>
        </w:rPr>
      </w:pPr>
      <w:r w:rsidRPr="00A04EEA">
        <w:rPr>
          <w:rFonts w:ascii="Cambria" w:hAnsi="Cambria" w:cstheme="minorHAnsi"/>
          <w:lang w:val="en-US"/>
        </w:rPr>
        <w:t>Finally, there is the ‘just so story</w:t>
      </w:r>
      <w:r w:rsidR="00EB7807" w:rsidRPr="00A04EEA">
        <w:rPr>
          <w:rFonts w:ascii="Cambria" w:hAnsi="Cambria" w:cstheme="minorHAnsi"/>
          <w:lang w:val="en-US"/>
        </w:rPr>
        <w:t>’</w:t>
      </w:r>
      <w:r w:rsidRPr="00A04EEA">
        <w:rPr>
          <w:rFonts w:ascii="Cambria" w:hAnsi="Cambria" w:cstheme="minorHAnsi"/>
          <w:lang w:val="en-US"/>
        </w:rPr>
        <w:t xml:space="preserve"> problem</w:t>
      </w:r>
      <w:r w:rsidR="00867AA3" w:rsidRPr="00A04EEA">
        <w:rPr>
          <w:rFonts w:ascii="Cambria" w:hAnsi="Cambria" w:cstheme="minorHAnsi"/>
          <w:lang w:val="en-US"/>
        </w:rPr>
        <w:t xml:space="preserve">, </w:t>
      </w:r>
      <w:proofErr w:type="spellStart"/>
      <w:r w:rsidR="0032619B">
        <w:rPr>
          <w:rFonts w:ascii="Cambria" w:hAnsi="Cambria" w:cstheme="minorHAnsi"/>
          <w:lang w:val="en-US"/>
        </w:rPr>
        <w:t>i.e</w:t>
      </w:r>
      <w:proofErr w:type="spellEnd"/>
      <w:r w:rsidR="0032619B">
        <w:rPr>
          <w:rFonts w:ascii="Cambria" w:hAnsi="Cambria" w:cstheme="minorHAnsi"/>
          <w:lang w:val="en-US"/>
        </w:rPr>
        <w:t xml:space="preserve"> the problem that a </w:t>
      </w:r>
      <w:r w:rsidR="00355230" w:rsidRPr="00A04EEA">
        <w:rPr>
          <w:rFonts w:ascii="Cambria" w:hAnsi="Cambria" w:cstheme="minorHAnsi"/>
          <w:lang w:val="en-US"/>
        </w:rPr>
        <w:t xml:space="preserve">claim </w:t>
      </w:r>
      <w:r w:rsidR="000305FB">
        <w:rPr>
          <w:rFonts w:ascii="Cambria" w:hAnsi="Cambria" w:cstheme="minorHAnsi"/>
          <w:lang w:val="en-US"/>
        </w:rPr>
        <w:t>that a particular doctrine of the law</w:t>
      </w:r>
      <w:r w:rsidR="000571A0">
        <w:rPr>
          <w:rFonts w:ascii="Cambria" w:hAnsi="Cambria" w:cstheme="minorHAnsi"/>
          <w:lang w:val="en-US"/>
        </w:rPr>
        <w:t xml:space="preserve"> is explained in terms of autonomy </w:t>
      </w:r>
      <w:r w:rsidR="00355230" w:rsidRPr="00A04EEA">
        <w:rPr>
          <w:rFonts w:ascii="Cambria" w:hAnsi="Cambria" w:cstheme="minorHAnsi"/>
          <w:lang w:val="en-US"/>
        </w:rPr>
        <w:t>is unfalsifiable by any agreed criteria</w:t>
      </w:r>
      <w:r w:rsidRPr="00A04EEA">
        <w:rPr>
          <w:rFonts w:ascii="Cambria" w:hAnsi="Cambria" w:cstheme="minorHAnsi"/>
          <w:lang w:val="en-US"/>
        </w:rPr>
        <w:t>.</w:t>
      </w:r>
      <w:r w:rsidR="00EB7807" w:rsidRPr="00A04EEA">
        <w:rPr>
          <w:rFonts w:ascii="Cambria" w:hAnsi="Cambria" w:cstheme="minorHAnsi"/>
          <w:lang w:val="en-US"/>
        </w:rPr>
        <w:t xml:space="preserve"> </w:t>
      </w:r>
      <w:r w:rsidR="00D1591A">
        <w:rPr>
          <w:rFonts w:ascii="Cambria" w:hAnsi="Cambria" w:cstheme="minorHAnsi"/>
          <w:lang w:val="en-US"/>
        </w:rPr>
        <w:t xml:space="preserve">The worry is that </w:t>
      </w:r>
      <w:r w:rsidR="00EB7807" w:rsidRPr="00A04EEA">
        <w:rPr>
          <w:rFonts w:ascii="Cambria" w:hAnsi="Cambria" w:cstheme="minorHAnsi"/>
          <w:lang w:val="en-US"/>
        </w:rPr>
        <w:t xml:space="preserve">one could concoct an ‘autonomy’ </w:t>
      </w:r>
      <w:r w:rsidR="00D1591A">
        <w:rPr>
          <w:rFonts w:ascii="Cambria" w:hAnsi="Cambria" w:cstheme="minorHAnsi"/>
          <w:lang w:val="en-US"/>
        </w:rPr>
        <w:t xml:space="preserve">story about </w:t>
      </w:r>
      <w:r w:rsidR="00EB7807" w:rsidRPr="00A04EEA">
        <w:rPr>
          <w:rFonts w:ascii="Cambria" w:hAnsi="Cambria" w:cstheme="minorHAnsi"/>
          <w:lang w:val="en-US"/>
        </w:rPr>
        <w:t>any bit of private law doctrine and its opposite</w:t>
      </w:r>
      <w:r w:rsidR="00CB6664">
        <w:rPr>
          <w:rFonts w:ascii="Cambria" w:hAnsi="Cambria" w:cstheme="minorHAnsi"/>
          <w:lang w:val="en-US"/>
        </w:rPr>
        <w:t xml:space="preserve"> because the concept of autonomy is so malleable or protean in its applicability.</w:t>
      </w:r>
      <w:r w:rsidR="00CB6664">
        <w:rPr>
          <w:rStyle w:val="FootnoteReference"/>
          <w:rFonts w:ascii="Cambria" w:hAnsi="Cambria" w:cstheme="minorHAnsi"/>
          <w:lang w:val="en-US"/>
        </w:rPr>
        <w:footnoteReference w:id="66"/>
      </w:r>
      <w:r w:rsidR="00EB7807" w:rsidRPr="00A04EEA">
        <w:rPr>
          <w:rFonts w:ascii="Cambria" w:hAnsi="Cambria" w:cstheme="minorHAnsi"/>
          <w:lang w:val="en-US"/>
        </w:rPr>
        <w:t xml:space="preserve"> </w:t>
      </w:r>
      <w:r w:rsidR="007C49B5">
        <w:rPr>
          <w:rFonts w:ascii="Cambria" w:hAnsi="Cambria" w:cstheme="minorHAnsi"/>
          <w:lang w:val="en-US"/>
        </w:rPr>
        <w:t>H</w:t>
      </w:r>
      <w:r w:rsidR="00175EA7" w:rsidRPr="00A04EEA">
        <w:rPr>
          <w:rFonts w:ascii="Cambria" w:hAnsi="Cambria" w:cstheme="minorHAnsi"/>
          <w:lang w:val="en-US"/>
        </w:rPr>
        <w:t xml:space="preserve">ere </w:t>
      </w:r>
      <w:r w:rsidR="0046561D" w:rsidRPr="00A04EEA">
        <w:rPr>
          <w:rFonts w:ascii="Cambria" w:hAnsi="Cambria" w:cstheme="minorHAnsi"/>
          <w:lang w:val="en-US"/>
        </w:rPr>
        <w:t>is</w:t>
      </w:r>
      <w:r w:rsidR="00175EA7" w:rsidRPr="00A04EEA">
        <w:rPr>
          <w:rFonts w:ascii="Cambria" w:hAnsi="Cambria" w:cstheme="minorHAnsi"/>
          <w:lang w:val="en-US"/>
        </w:rPr>
        <w:t xml:space="preserve"> an example</w:t>
      </w:r>
      <w:r w:rsidR="0046561D" w:rsidRPr="00A04EEA">
        <w:rPr>
          <w:rFonts w:ascii="Cambria" w:hAnsi="Cambria" w:cstheme="minorHAnsi"/>
          <w:lang w:val="en-US"/>
        </w:rPr>
        <w:t xml:space="preserve"> of what I mean</w:t>
      </w:r>
      <w:r w:rsidR="00175EA7" w:rsidRPr="00A04EEA">
        <w:rPr>
          <w:rFonts w:ascii="Cambria" w:hAnsi="Cambria" w:cstheme="minorHAnsi"/>
          <w:lang w:val="en-US"/>
        </w:rPr>
        <w:t xml:space="preserve">: One could say that the doctrine of consideration supports autonomy because it ensures that </w:t>
      </w:r>
      <w:r w:rsidR="000A75D0" w:rsidRPr="00A04EEA">
        <w:rPr>
          <w:rFonts w:ascii="Cambria" w:hAnsi="Cambria" w:cstheme="minorHAnsi"/>
          <w:lang w:val="en-US"/>
        </w:rPr>
        <w:t xml:space="preserve">only bargains are enforced and this protects people from the prospect of </w:t>
      </w:r>
      <w:r w:rsidR="00DB105E">
        <w:rPr>
          <w:rFonts w:ascii="Cambria" w:hAnsi="Cambria" w:cstheme="minorHAnsi"/>
          <w:lang w:val="en-US"/>
        </w:rPr>
        <w:t xml:space="preserve">the </w:t>
      </w:r>
      <w:r w:rsidR="00F0639B" w:rsidRPr="00A04EEA">
        <w:rPr>
          <w:rFonts w:ascii="Cambria" w:hAnsi="Cambria" w:cstheme="minorHAnsi"/>
          <w:lang w:val="en-US"/>
        </w:rPr>
        <w:t xml:space="preserve">rampant </w:t>
      </w:r>
      <w:proofErr w:type="spellStart"/>
      <w:r w:rsidR="00F0639B" w:rsidRPr="00A04EEA">
        <w:rPr>
          <w:rFonts w:ascii="Cambria" w:hAnsi="Cambria" w:cstheme="minorHAnsi"/>
          <w:lang w:val="en-US"/>
        </w:rPr>
        <w:t>legali</w:t>
      </w:r>
      <w:r w:rsidR="00DB105E">
        <w:rPr>
          <w:rFonts w:ascii="Cambria" w:hAnsi="Cambria" w:cstheme="minorHAnsi"/>
          <w:lang w:val="en-US"/>
        </w:rPr>
        <w:t>s</w:t>
      </w:r>
      <w:r w:rsidR="00F0639B" w:rsidRPr="00A04EEA">
        <w:rPr>
          <w:rFonts w:ascii="Cambria" w:hAnsi="Cambria" w:cstheme="minorHAnsi"/>
          <w:lang w:val="en-US"/>
        </w:rPr>
        <w:t>ation</w:t>
      </w:r>
      <w:proofErr w:type="spellEnd"/>
      <w:r w:rsidR="00F0639B" w:rsidRPr="00A04EEA">
        <w:rPr>
          <w:rFonts w:ascii="Cambria" w:hAnsi="Cambria" w:cstheme="minorHAnsi"/>
          <w:lang w:val="en-US"/>
        </w:rPr>
        <w:t xml:space="preserve"> of </w:t>
      </w:r>
      <w:r w:rsidR="00656DC6" w:rsidRPr="00A04EEA">
        <w:rPr>
          <w:rFonts w:ascii="Cambria" w:hAnsi="Cambria" w:cstheme="minorHAnsi"/>
          <w:lang w:val="en-US"/>
        </w:rPr>
        <w:t xml:space="preserve">mere promising, which would reduce their autonomy. </w:t>
      </w:r>
      <w:r w:rsidR="0046561D" w:rsidRPr="00A04EEA">
        <w:rPr>
          <w:rFonts w:ascii="Cambria" w:hAnsi="Cambria" w:cstheme="minorHAnsi"/>
          <w:lang w:val="en-US"/>
        </w:rPr>
        <w:t xml:space="preserve">But one could also argue that the doctrine of consideration thwarts autonomy by </w:t>
      </w:r>
      <w:r w:rsidR="00FE0E8F" w:rsidRPr="00A04EEA">
        <w:rPr>
          <w:rFonts w:ascii="Cambria" w:hAnsi="Cambria" w:cstheme="minorHAnsi"/>
          <w:lang w:val="en-US"/>
        </w:rPr>
        <w:t xml:space="preserve">refusing the help of the law to those people who really intend their </w:t>
      </w:r>
      <w:r w:rsidR="007A2D7B" w:rsidRPr="00A04EEA">
        <w:rPr>
          <w:rFonts w:ascii="Cambria" w:hAnsi="Cambria" w:cstheme="minorHAnsi"/>
          <w:lang w:val="en-US"/>
        </w:rPr>
        <w:t xml:space="preserve">mere </w:t>
      </w:r>
      <w:r w:rsidR="00FE0E8F" w:rsidRPr="00A04EEA">
        <w:rPr>
          <w:rFonts w:ascii="Cambria" w:hAnsi="Cambria" w:cstheme="minorHAnsi"/>
          <w:lang w:val="en-US"/>
        </w:rPr>
        <w:t>promises to be binding, removing the legal facility for so doing</w:t>
      </w:r>
      <w:r w:rsidR="00916DB7" w:rsidRPr="00A04EEA">
        <w:rPr>
          <w:rFonts w:ascii="Cambria" w:hAnsi="Cambria" w:cstheme="minorHAnsi"/>
          <w:lang w:val="en-US"/>
        </w:rPr>
        <w:t>, which diminishes their autonomy</w:t>
      </w:r>
      <w:r w:rsidR="00FE0E8F" w:rsidRPr="00A04EEA">
        <w:rPr>
          <w:rFonts w:ascii="Cambria" w:hAnsi="Cambria" w:cstheme="minorHAnsi"/>
          <w:lang w:val="en-US"/>
        </w:rPr>
        <w:t xml:space="preserve">, and we know this because the law of covenants </w:t>
      </w:r>
      <w:r w:rsidR="006F49D3" w:rsidRPr="00A04EEA">
        <w:rPr>
          <w:rFonts w:ascii="Cambria" w:hAnsi="Cambria" w:cstheme="minorHAnsi"/>
          <w:lang w:val="en-US"/>
        </w:rPr>
        <w:t>supplements contract law</w:t>
      </w:r>
      <w:r w:rsidR="00FE0E8F" w:rsidRPr="00A04EEA">
        <w:rPr>
          <w:rFonts w:ascii="Cambria" w:hAnsi="Cambria" w:cstheme="minorHAnsi"/>
          <w:lang w:val="en-US"/>
        </w:rPr>
        <w:t xml:space="preserve"> with just this mechanism</w:t>
      </w:r>
      <w:r w:rsidR="006F49D3" w:rsidRPr="00A04EEA">
        <w:rPr>
          <w:rFonts w:ascii="Cambria" w:hAnsi="Cambria" w:cstheme="minorHAnsi"/>
          <w:lang w:val="en-US"/>
        </w:rPr>
        <w:t>, so long as the</w:t>
      </w:r>
      <w:r w:rsidR="00386361">
        <w:rPr>
          <w:rFonts w:ascii="Cambria" w:hAnsi="Cambria" w:cstheme="minorHAnsi"/>
          <w:lang w:val="en-US"/>
        </w:rPr>
        <w:t xml:space="preserve"> promisor is</w:t>
      </w:r>
      <w:r w:rsidR="006F49D3" w:rsidRPr="00A04EEA">
        <w:rPr>
          <w:rFonts w:ascii="Cambria" w:hAnsi="Cambria" w:cstheme="minorHAnsi"/>
          <w:lang w:val="en-US"/>
        </w:rPr>
        <w:t xml:space="preserve"> willing to attend to the required formality</w:t>
      </w:r>
      <w:r w:rsidR="00FE0E8F" w:rsidRPr="00A04EEA">
        <w:rPr>
          <w:rFonts w:ascii="Cambria" w:hAnsi="Cambria" w:cstheme="minorHAnsi"/>
          <w:lang w:val="en-US"/>
        </w:rPr>
        <w:t xml:space="preserve">. (This </w:t>
      </w:r>
      <w:r w:rsidR="00834499" w:rsidRPr="00A04EEA">
        <w:rPr>
          <w:rFonts w:ascii="Cambria" w:hAnsi="Cambria" w:cstheme="minorHAnsi"/>
          <w:lang w:val="en-US"/>
        </w:rPr>
        <w:t xml:space="preserve">way of putting it </w:t>
      </w:r>
      <w:r w:rsidR="00FE0E8F" w:rsidRPr="00A04EEA">
        <w:rPr>
          <w:rFonts w:ascii="Cambria" w:hAnsi="Cambria" w:cstheme="minorHAnsi"/>
          <w:lang w:val="en-US"/>
        </w:rPr>
        <w:t>is crassly ahistorical, I know</w:t>
      </w:r>
      <w:r w:rsidR="000608FF">
        <w:rPr>
          <w:rFonts w:ascii="Cambria" w:hAnsi="Cambria" w:cstheme="minorHAnsi"/>
          <w:lang w:val="en-US"/>
        </w:rPr>
        <w:t xml:space="preserve">—the </w:t>
      </w:r>
      <w:r w:rsidR="00FE0E8F" w:rsidRPr="00A04EEA">
        <w:rPr>
          <w:rFonts w:ascii="Cambria" w:hAnsi="Cambria" w:cstheme="minorHAnsi"/>
          <w:lang w:val="en-US"/>
        </w:rPr>
        <w:t>law of covenants came first</w:t>
      </w:r>
      <w:r w:rsidR="002D6956" w:rsidRPr="00A04EEA">
        <w:rPr>
          <w:rFonts w:ascii="Cambria" w:hAnsi="Cambria" w:cstheme="minorHAnsi"/>
          <w:lang w:val="en-US"/>
        </w:rPr>
        <w:t>.</w:t>
      </w:r>
      <w:r w:rsidR="00FE0E8F" w:rsidRPr="00A04EEA">
        <w:rPr>
          <w:rFonts w:ascii="Cambria" w:hAnsi="Cambria" w:cstheme="minorHAnsi"/>
          <w:lang w:val="en-US"/>
        </w:rPr>
        <w:t>)</w:t>
      </w:r>
      <w:r w:rsidR="001B013D" w:rsidRPr="00A04EEA">
        <w:rPr>
          <w:rFonts w:ascii="Cambria" w:hAnsi="Cambria" w:cstheme="minorHAnsi"/>
          <w:lang w:val="en-US"/>
        </w:rPr>
        <w:t xml:space="preserve"> Another concern here is that private law </w:t>
      </w:r>
      <w:r w:rsidR="00C70896" w:rsidRPr="00A04EEA">
        <w:rPr>
          <w:rFonts w:ascii="Cambria" w:hAnsi="Cambria" w:cstheme="minorHAnsi"/>
          <w:lang w:val="en-US"/>
        </w:rPr>
        <w:t xml:space="preserve">is generally considered ‘zero-sum’ in the sense that a gain in the rights </w:t>
      </w:r>
      <w:r w:rsidR="00BB49E9" w:rsidRPr="00A04EEA">
        <w:rPr>
          <w:rFonts w:ascii="Cambria" w:hAnsi="Cambria" w:cstheme="minorHAnsi"/>
          <w:lang w:val="en-US"/>
        </w:rPr>
        <w:t>of those in one class of persons reduces the freedom of those in the correlative duty</w:t>
      </w:r>
      <w:r w:rsidR="009F2872">
        <w:rPr>
          <w:rFonts w:ascii="Cambria" w:hAnsi="Cambria" w:cstheme="minorHAnsi"/>
          <w:lang w:val="en-US"/>
        </w:rPr>
        <w:t xml:space="preserve"> </w:t>
      </w:r>
      <w:r w:rsidR="00BB49E9" w:rsidRPr="00A04EEA">
        <w:rPr>
          <w:rFonts w:ascii="Cambria" w:hAnsi="Cambria" w:cstheme="minorHAnsi"/>
          <w:lang w:val="en-US"/>
        </w:rPr>
        <w:t>owing class</w:t>
      </w:r>
      <w:r w:rsidR="00BA7D92" w:rsidRPr="00A04EEA">
        <w:rPr>
          <w:rFonts w:ascii="Cambria" w:hAnsi="Cambria" w:cstheme="minorHAnsi"/>
          <w:lang w:val="en-US"/>
        </w:rPr>
        <w:t>;</w:t>
      </w:r>
      <w:r w:rsidR="0038759C">
        <w:rPr>
          <w:rFonts w:ascii="Cambria" w:hAnsi="Cambria" w:cstheme="minorHAnsi"/>
          <w:lang w:val="en-US"/>
        </w:rPr>
        <w:t xml:space="preserve"> the issue is particularly stark when </w:t>
      </w:r>
      <w:r w:rsidR="009B2FA0">
        <w:rPr>
          <w:rFonts w:ascii="Cambria" w:hAnsi="Cambria" w:cstheme="minorHAnsi"/>
          <w:lang w:val="en-US"/>
        </w:rPr>
        <w:t xml:space="preserve">the class of right holders is essentially the same as the class of duty </w:t>
      </w:r>
      <w:proofErr w:type="spellStart"/>
      <w:r w:rsidR="009B2FA0">
        <w:rPr>
          <w:rFonts w:ascii="Cambria" w:hAnsi="Cambria" w:cstheme="minorHAnsi"/>
          <w:lang w:val="en-US"/>
        </w:rPr>
        <w:t>owers</w:t>
      </w:r>
      <w:proofErr w:type="spellEnd"/>
      <w:r w:rsidR="009B2FA0">
        <w:rPr>
          <w:rFonts w:ascii="Cambria" w:hAnsi="Cambria" w:cstheme="minorHAnsi"/>
          <w:lang w:val="en-US"/>
        </w:rPr>
        <w:t xml:space="preserve">. </w:t>
      </w:r>
      <w:r w:rsidR="00012AB9">
        <w:rPr>
          <w:rFonts w:ascii="Cambria" w:hAnsi="Cambria" w:cstheme="minorHAnsi"/>
          <w:lang w:val="en-US"/>
        </w:rPr>
        <w:t>W</w:t>
      </w:r>
      <w:r w:rsidR="00024959">
        <w:rPr>
          <w:rFonts w:ascii="Cambria" w:hAnsi="Cambria" w:cstheme="minorHAnsi"/>
          <w:lang w:val="en-US"/>
        </w:rPr>
        <w:t>ith respect to which transfers</w:t>
      </w:r>
      <w:r w:rsidR="00012AB9">
        <w:rPr>
          <w:rFonts w:ascii="Cambria" w:hAnsi="Cambria" w:cstheme="minorHAnsi"/>
          <w:lang w:val="en-US"/>
        </w:rPr>
        <w:t>, for example,</w:t>
      </w:r>
      <w:r w:rsidR="00024959">
        <w:rPr>
          <w:rFonts w:ascii="Cambria" w:hAnsi="Cambria" w:cstheme="minorHAnsi"/>
          <w:lang w:val="en-US"/>
        </w:rPr>
        <w:t xml:space="preserve"> should the principle of </w:t>
      </w:r>
      <w:r w:rsidR="00024959">
        <w:rPr>
          <w:rFonts w:ascii="Cambria" w:hAnsi="Cambria" w:cstheme="minorHAnsi"/>
          <w:i/>
          <w:iCs/>
          <w:lang w:val="en-US"/>
        </w:rPr>
        <w:t xml:space="preserve">nemo </w:t>
      </w:r>
      <w:proofErr w:type="spellStart"/>
      <w:r w:rsidR="00024959">
        <w:rPr>
          <w:rFonts w:ascii="Cambria" w:hAnsi="Cambria" w:cstheme="minorHAnsi"/>
          <w:i/>
          <w:iCs/>
          <w:lang w:val="en-US"/>
        </w:rPr>
        <w:t>dat</w:t>
      </w:r>
      <w:proofErr w:type="spellEnd"/>
      <w:r w:rsidR="00024959">
        <w:rPr>
          <w:rFonts w:ascii="Cambria" w:hAnsi="Cambria" w:cstheme="minorHAnsi"/>
          <w:i/>
          <w:iCs/>
          <w:lang w:val="en-US"/>
        </w:rPr>
        <w:t xml:space="preserve"> </w:t>
      </w:r>
      <w:proofErr w:type="spellStart"/>
      <w:r w:rsidR="00024959">
        <w:rPr>
          <w:rFonts w:ascii="Cambria" w:hAnsi="Cambria" w:cstheme="minorHAnsi"/>
          <w:i/>
          <w:iCs/>
          <w:lang w:val="en-US"/>
        </w:rPr>
        <w:t>quod</w:t>
      </w:r>
      <w:proofErr w:type="spellEnd"/>
      <w:r w:rsidR="00024959">
        <w:rPr>
          <w:rFonts w:ascii="Cambria" w:hAnsi="Cambria" w:cstheme="minorHAnsi"/>
          <w:i/>
          <w:iCs/>
          <w:lang w:val="en-US"/>
        </w:rPr>
        <w:t xml:space="preserve"> non </w:t>
      </w:r>
      <w:proofErr w:type="spellStart"/>
      <w:r w:rsidR="00024959">
        <w:rPr>
          <w:rFonts w:ascii="Cambria" w:hAnsi="Cambria" w:cstheme="minorHAnsi"/>
          <w:i/>
          <w:iCs/>
          <w:lang w:val="en-US"/>
        </w:rPr>
        <w:t>habet</w:t>
      </w:r>
      <w:proofErr w:type="spellEnd"/>
      <w:r w:rsidR="00115C09">
        <w:rPr>
          <w:rFonts w:ascii="Cambria" w:hAnsi="Cambria" w:cstheme="minorHAnsi"/>
          <w:lang w:val="en-US"/>
        </w:rPr>
        <w:t xml:space="preserve"> apply rather than a bona fide purchaser rule? How should one assess</w:t>
      </w:r>
    </w:p>
    <w:p w14:paraId="4125DEE1" w14:textId="0A6725AD" w:rsidR="001917A1" w:rsidRPr="001917A1" w:rsidRDefault="004824F7" w:rsidP="001917A1">
      <w:pPr>
        <w:jc w:val="both"/>
        <w:rPr>
          <w:rFonts w:ascii="Cambria" w:hAnsi="Cambria" w:cstheme="minorHAnsi"/>
          <w:lang w:val="en-US"/>
        </w:rPr>
      </w:pPr>
      <w:r>
        <w:rPr>
          <w:rFonts w:ascii="Cambria" w:hAnsi="Cambria" w:cstheme="minorHAnsi"/>
          <w:lang w:val="en-US"/>
        </w:rPr>
        <w:t>whether and how such a choice contributes to autonomy</w:t>
      </w:r>
      <w:r w:rsidR="00D645DC">
        <w:rPr>
          <w:rFonts w:ascii="Cambria" w:hAnsi="Cambria" w:cstheme="minorHAnsi"/>
          <w:lang w:val="en-US"/>
        </w:rPr>
        <w:t>?</w:t>
      </w:r>
      <w:r w:rsidR="003B41D1">
        <w:rPr>
          <w:rFonts w:ascii="Cambria" w:hAnsi="Cambria" w:cstheme="minorHAnsi"/>
          <w:lang w:val="en-US"/>
        </w:rPr>
        <w:t xml:space="preserve"> </w:t>
      </w:r>
      <w:r w:rsidR="00F92D7B">
        <w:rPr>
          <w:rFonts w:ascii="Cambria" w:hAnsi="Cambria" w:cstheme="minorHAnsi"/>
          <w:lang w:val="en-US"/>
        </w:rPr>
        <w:t>In at least some cases, p</w:t>
      </w:r>
      <w:r w:rsidR="003B41D1">
        <w:rPr>
          <w:rFonts w:ascii="Cambria" w:hAnsi="Cambria" w:cstheme="minorHAnsi"/>
          <w:lang w:val="en-US"/>
        </w:rPr>
        <w:t xml:space="preserve">erhaps it would be right to hold that </w:t>
      </w:r>
      <w:r w:rsidR="00D645DC">
        <w:rPr>
          <w:rFonts w:ascii="Cambria" w:hAnsi="Cambria" w:cstheme="minorHAnsi"/>
          <w:lang w:val="en-US"/>
        </w:rPr>
        <w:t xml:space="preserve">the value of </w:t>
      </w:r>
      <w:r w:rsidR="003B41D1">
        <w:rPr>
          <w:rFonts w:ascii="Cambria" w:hAnsi="Cambria" w:cstheme="minorHAnsi"/>
          <w:lang w:val="en-US"/>
        </w:rPr>
        <w:t xml:space="preserve">autonomy is powerless to determine or justify </w:t>
      </w:r>
      <w:r w:rsidR="0032619B">
        <w:rPr>
          <w:rFonts w:ascii="Cambria" w:hAnsi="Cambria" w:cstheme="minorHAnsi"/>
          <w:lang w:val="en-US"/>
        </w:rPr>
        <w:t xml:space="preserve">at least </w:t>
      </w:r>
      <w:r w:rsidR="003B41D1">
        <w:rPr>
          <w:rFonts w:ascii="Cambria" w:hAnsi="Cambria" w:cstheme="minorHAnsi"/>
          <w:lang w:val="en-US"/>
        </w:rPr>
        <w:t>some private law doctrines.</w:t>
      </w:r>
    </w:p>
    <w:p w14:paraId="1C2EE12E" w14:textId="77777777" w:rsidR="00D54261" w:rsidRPr="008F68D6" w:rsidRDefault="00D54261" w:rsidP="008F68D6">
      <w:pPr>
        <w:pStyle w:val="ListParagraph"/>
        <w:jc w:val="both"/>
        <w:rPr>
          <w:rFonts w:ascii="Cambria" w:hAnsi="Cambria" w:cstheme="minorHAnsi"/>
          <w:lang w:val="en-US"/>
        </w:rPr>
      </w:pPr>
    </w:p>
    <w:p w14:paraId="2FA66F2F" w14:textId="3BD20BE3" w:rsidR="00920DC3" w:rsidRPr="008F68D6" w:rsidRDefault="00920DC3" w:rsidP="008F68D6">
      <w:pPr>
        <w:jc w:val="both"/>
        <w:rPr>
          <w:rFonts w:ascii="Cambria" w:hAnsi="Cambria" w:cstheme="minorHAnsi"/>
          <w:lang w:val="en-US"/>
        </w:rPr>
      </w:pPr>
      <w:r w:rsidRPr="008F68D6">
        <w:rPr>
          <w:rFonts w:ascii="Cambria" w:hAnsi="Cambria" w:cstheme="minorHAnsi"/>
          <w:lang w:val="en-US"/>
        </w:rPr>
        <w:t>References</w:t>
      </w:r>
    </w:p>
    <w:p w14:paraId="041ED3DE" w14:textId="2DB29B4E" w:rsidR="00920DC3" w:rsidRPr="008F68D6" w:rsidRDefault="00920DC3" w:rsidP="008F68D6">
      <w:pPr>
        <w:jc w:val="both"/>
        <w:rPr>
          <w:rFonts w:ascii="Cambria" w:hAnsi="Cambria" w:cstheme="minorHAnsi"/>
          <w:lang w:val="en-US"/>
        </w:rPr>
      </w:pPr>
    </w:p>
    <w:p w14:paraId="67CF50C1" w14:textId="077AD3A9" w:rsidR="00646297" w:rsidRPr="008F68D6" w:rsidRDefault="00CA0BB5" w:rsidP="008F68D6">
      <w:pPr>
        <w:jc w:val="both"/>
        <w:rPr>
          <w:rFonts w:ascii="Cambria" w:hAnsi="Cambria" w:cstheme="minorHAnsi"/>
          <w:lang w:val="en-US"/>
        </w:rPr>
      </w:pPr>
      <w:r w:rsidRPr="008F68D6">
        <w:rPr>
          <w:rFonts w:ascii="Cambria" w:hAnsi="Cambria" w:cstheme="minorHAnsi"/>
          <w:lang w:val="en-US"/>
        </w:rPr>
        <w:fldChar w:fldCharType="begin"/>
      </w:r>
      <w:r w:rsidRPr="008F68D6">
        <w:rPr>
          <w:rFonts w:ascii="Cambria" w:hAnsi="Cambria" w:cstheme="minorHAnsi"/>
          <w:lang w:val="en-US"/>
        </w:rPr>
        <w:instrText xml:space="preserve"> ADDIN EN.CITE &lt;EndNote&gt;&lt;Cite&gt;&lt;Author&gt;Dagan&lt;/Author&gt;&lt;Year&gt;2017&lt;/Year&gt;&lt;RecNum&gt;819&lt;/RecNum&gt;&lt;DisplayText&gt;(Dagan and Heller 2017)&lt;/DisplayText&gt;&lt;record&gt;&lt;rec-number&gt;819&lt;/rec-number&gt;&lt;foreign-keys&gt;&lt;key app="EN" db-id="zezpr0wsapzvspe99es52vv30d2rd5x0parp" timestamp="1620797129"&gt;819&lt;/key&gt;&lt;/foreign-keys&gt;&lt;ref-type name="Book"&gt;6&lt;/ref-type&gt;&lt;contributors&gt;&lt;authors&gt;&lt;author&gt;Dagan, Hanoch&lt;/author&gt;&lt;author&gt;Heller, Michael&lt;/author&gt;&lt;/authors&gt;&lt;/contributors&gt;&lt;titles&gt;&lt;title&gt;The Choice Theory of Contracts&lt;/title&gt;&lt;/titles&gt;&lt;dates&gt;&lt;year&gt;2017&lt;/year&gt;&lt;/dates&gt;&lt;pub-location&gt;Cambridge&lt;/pub-location&gt;&lt;publisher&gt;Cambridge University Press&lt;/publisher&gt;&lt;urls&gt;&lt;/urls&gt;&lt;/record&gt;&lt;/Cite&gt;&lt;/EndNote&gt;</w:instrText>
      </w:r>
      <w:r w:rsidRPr="008F68D6">
        <w:rPr>
          <w:rFonts w:ascii="Cambria" w:hAnsi="Cambria" w:cstheme="minorHAnsi"/>
          <w:lang w:val="en-US"/>
        </w:rPr>
        <w:fldChar w:fldCharType="separate"/>
      </w:r>
      <w:r w:rsidRPr="008F68D6">
        <w:rPr>
          <w:rFonts w:ascii="Cambria" w:hAnsi="Cambria" w:cstheme="minorHAnsi"/>
          <w:noProof/>
          <w:lang w:val="en-US"/>
        </w:rPr>
        <w:t>(Dagan and Heller 2017)</w:t>
      </w:r>
      <w:r w:rsidRPr="008F68D6">
        <w:rPr>
          <w:rFonts w:ascii="Cambria" w:hAnsi="Cambria" w:cstheme="minorHAnsi"/>
          <w:lang w:val="en-US"/>
        </w:rPr>
        <w:fldChar w:fldCharType="end"/>
      </w:r>
      <w:r w:rsidRPr="008F68D6">
        <w:rPr>
          <w:rFonts w:ascii="Cambria" w:hAnsi="Cambria" w:cstheme="minorHAnsi"/>
          <w:lang w:val="en-US"/>
        </w:rPr>
        <w:t xml:space="preserve"> </w:t>
      </w:r>
      <w:r w:rsidR="00BA5497" w:rsidRPr="008F68D6">
        <w:rPr>
          <w:rFonts w:ascii="Cambria" w:hAnsi="Cambria" w:cstheme="minorHAnsi"/>
          <w:lang w:val="en-US"/>
        </w:rPr>
        <w:fldChar w:fldCharType="begin"/>
      </w:r>
      <w:r w:rsidR="00BA5497" w:rsidRPr="008F68D6">
        <w:rPr>
          <w:rFonts w:ascii="Cambria" w:hAnsi="Cambria" w:cstheme="minorHAnsi"/>
          <w:lang w:val="en-US"/>
        </w:rPr>
        <w:instrText xml:space="preserve"> ADDIN EN.CITE &lt;EndNote&gt;&lt;Cite&gt;&lt;Author&gt;Dagan&lt;/Author&gt;&lt;Year&gt;2021&lt;/Year&gt;&lt;RecNum&gt;821&lt;/RecNum&gt;&lt;DisplayText&gt;(Dagan and Heller 2021)&lt;/DisplayText&gt;&lt;record&gt;&lt;rec-number&gt;821&lt;/rec-number&gt;&lt;foreign-keys&gt;&lt;key app="EN" db-id="zezpr0wsapzvspe99es52vv30d2rd5x0parp" timestamp="1620797561"&gt;821&lt;/key&gt;&lt;/foreign-keys&gt;&lt;ref-type name="Journal Article"&gt;17&lt;/ref-type&gt;&lt;contributors&gt;&lt;authors&gt;&lt;author&gt;Dagan, Hanoch&lt;/author&gt;&lt;author&gt;Heller, Michael&lt;/author&gt;&lt;/authors&gt;&lt;/contributors&gt;&lt;titles&gt;&lt;title&gt;Autonomy for Contract, Refined&lt;/title&gt;&lt;secondary-title&gt;Law and Philosophy&lt;/secondary-title&gt;&lt;/titles&gt;&lt;periodical&gt;&lt;full-title&gt;Law and Philosophy&lt;/full-title&gt;&lt;/periodical&gt;&lt;dates&gt;&lt;year&gt;2021&lt;/year&gt;&lt;/dates&gt;&lt;urls&gt;&lt;/urls&gt;&lt;/record&gt;&lt;/Cite&gt;&lt;/EndNote&gt;</w:instrText>
      </w:r>
      <w:r w:rsidR="00BA5497" w:rsidRPr="008F68D6">
        <w:rPr>
          <w:rFonts w:ascii="Cambria" w:hAnsi="Cambria" w:cstheme="minorHAnsi"/>
          <w:lang w:val="en-US"/>
        </w:rPr>
        <w:fldChar w:fldCharType="separate"/>
      </w:r>
      <w:r w:rsidR="00BA5497" w:rsidRPr="008F68D6">
        <w:rPr>
          <w:rFonts w:ascii="Cambria" w:hAnsi="Cambria" w:cstheme="minorHAnsi"/>
          <w:noProof/>
          <w:lang w:val="en-US"/>
        </w:rPr>
        <w:t>(Dagan and Heller 2021)</w:t>
      </w:r>
      <w:r w:rsidR="00BA5497" w:rsidRPr="008F68D6">
        <w:rPr>
          <w:rFonts w:ascii="Cambria" w:hAnsi="Cambria" w:cstheme="minorHAnsi"/>
          <w:lang w:val="en-US"/>
        </w:rPr>
        <w:fldChar w:fldCharType="end"/>
      </w:r>
      <w:r w:rsidR="004447C6" w:rsidRPr="008F68D6">
        <w:rPr>
          <w:rFonts w:ascii="Cambria" w:hAnsi="Cambria" w:cstheme="minorHAnsi"/>
          <w:lang w:val="en-US"/>
        </w:rPr>
        <w:t xml:space="preserve"> </w:t>
      </w:r>
      <w:r w:rsidR="00F7752D" w:rsidRPr="008F68D6">
        <w:rPr>
          <w:rFonts w:ascii="Cambria" w:hAnsi="Cambria" w:cstheme="minorHAnsi"/>
          <w:lang w:val="en-US"/>
        </w:rPr>
        <w:fldChar w:fldCharType="begin"/>
      </w:r>
      <w:r w:rsidR="00F7752D" w:rsidRPr="008F68D6">
        <w:rPr>
          <w:rFonts w:ascii="Cambria" w:hAnsi="Cambria" w:cstheme="minorHAnsi"/>
          <w:lang w:val="en-US"/>
        </w:rPr>
        <w:instrText xml:space="preserve"> ADDIN EN.CITE &lt;EndNote&gt;&lt;Cite&gt;&lt;Author&gt;Ripstein&lt;/Author&gt;&lt;Year&gt;2021&lt;/Year&gt;&lt;RecNum&gt;822&lt;/RecNum&gt;&lt;DisplayText&gt;(Ripstein 2021)&lt;/DisplayText&gt;&lt;record&gt;&lt;rec-number&gt;822&lt;/rec-number&gt;&lt;foreign-keys&gt;&lt;key app="EN" db-id="zezpr0wsapzvspe99es52vv30d2rd5x0parp" timestamp="1620797727"&gt;822&lt;/key&gt;&lt;/foreign-keys&gt;&lt;ref-type name="Journal Article"&gt;17&lt;/ref-type&gt;&lt;contributors&gt;&lt;authors&gt;&lt;author&gt;Ripstein, Arthur&lt;/author&gt;&lt;/authors&gt;&lt;/contributors&gt;&lt;titles&gt;&lt;title&gt;The Contract Theory of Choices&lt;/title&gt;&lt;secondary-title&gt;Law and Philosophy&lt;/secondary-title&gt;&lt;/titles&gt;&lt;periodical&gt;&lt;full-title&gt;Law and Philosophy&lt;/full-title&gt;&lt;/periodical&gt;&lt;dates&gt;&lt;year&gt;2021&lt;/year&gt;&lt;/dates&gt;&lt;urls&gt;&lt;/urls&gt;&lt;/record&gt;&lt;/Cite&gt;&lt;/EndNote&gt;</w:instrText>
      </w:r>
      <w:r w:rsidR="00F7752D" w:rsidRPr="008F68D6">
        <w:rPr>
          <w:rFonts w:ascii="Cambria" w:hAnsi="Cambria" w:cstheme="minorHAnsi"/>
          <w:lang w:val="en-US"/>
        </w:rPr>
        <w:fldChar w:fldCharType="separate"/>
      </w:r>
      <w:r w:rsidR="00F7752D" w:rsidRPr="008F68D6">
        <w:rPr>
          <w:rFonts w:ascii="Cambria" w:hAnsi="Cambria" w:cstheme="minorHAnsi"/>
          <w:noProof/>
          <w:lang w:val="en-US"/>
        </w:rPr>
        <w:t>(Ripstein 2021)</w:t>
      </w:r>
      <w:r w:rsidR="00F7752D" w:rsidRPr="008F68D6">
        <w:rPr>
          <w:rFonts w:ascii="Cambria" w:hAnsi="Cambria" w:cstheme="minorHAnsi"/>
          <w:lang w:val="en-US"/>
        </w:rPr>
        <w:fldChar w:fldCharType="end"/>
      </w:r>
      <w:r w:rsidR="001B5DE9" w:rsidRPr="008F68D6">
        <w:rPr>
          <w:rFonts w:ascii="Cambria" w:hAnsi="Cambria" w:cstheme="minorHAnsi"/>
          <w:lang w:val="en-US"/>
        </w:rPr>
        <w:t xml:space="preserve"> </w:t>
      </w:r>
      <w:r w:rsidR="00AE33B4" w:rsidRPr="008F68D6">
        <w:rPr>
          <w:rFonts w:ascii="Cambria" w:hAnsi="Cambria" w:cstheme="minorHAnsi"/>
          <w:lang w:val="en-US"/>
        </w:rPr>
        <w:fldChar w:fldCharType="begin"/>
      </w:r>
      <w:r w:rsidR="00AE33B4" w:rsidRPr="008F68D6">
        <w:rPr>
          <w:rFonts w:ascii="Cambria" w:hAnsi="Cambria" w:cstheme="minorHAnsi"/>
          <w:lang w:val="en-US"/>
        </w:rPr>
        <w:instrText xml:space="preserve"> ADDIN EN.CITE &lt;EndNote&gt;&lt;Cite&gt;&lt;Author&gt;Stevens&lt;/Author&gt;&lt;Year&gt;2020&lt;/Year&gt;&lt;RecNum&gt;823&lt;/RecNum&gt;&lt;DisplayText&gt;(Stevens 2020)&lt;/DisplayText&gt;&lt;record&gt;&lt;rec-number&gt;823&lt;/rec-number&gt;&lt;foreign-keys&gt;&lt;key app="EN" db-id="zezpr0wsapzvspe99es52vv30d2rd5x0parp" timestamp="1620797861"&gt;823&lt;/key&gt;&lt;/foreign-keys&gt;&lt;ref-type name="Unpublished Work"&gt;34&lt;/ref-type&gt;&lt;contributors&gt;&lt;authors&gt;&lt;author&gt;Stevens, Robert&lt;/author&gt;&lt;/authors&gt;&lt;/contributors&gt;&lt;titles&gt;&lt;title&gt;Contract, Rights and the Morality of Promising&lt;/title&gt;&lt;/titles&gt;&lt;dates&gt;&lt;year&gt;2020&lt;/year&gt;&lt;/dates&gt;&lt;urls&gt;&lt;/urls&gt;&lt;/record&gt;&lt;/Cite&gt;&lt;/EndNote&gt;</w:instrText>
      </w:r>
      <w:r w:rsidR="00AE33B4" w:rsidRPr="008F68D6">
        <w:rPr>
          <w:rFonts w:ascii="Cambria" w:hAnsi="Cambria" w:cstheme="minorHAnsi"/>
          <w:lang w:val="en-US"/>
        </w:rPr>
        <w:fldChar w:fldCharType="separate"/>
      </w:r>
      <w:r w:rsidR="00AE33B4" w:rsidRPr="008F68D6">
        <w:rPr>
          <w:rFonts w:ascii="Cambria" w:hAnsi="Cambria" w:cstheme="minorHAnsi"/>
          <w:noProof/>
          <w:lang w:val="en-US"/>
        </w:rPr>
        <w:t>(Stevens 2020)</w:t>
      </w:r>
      <w:r w:rsidR="00AE33B4" w:rsidRPr="008F68D6">
        <w:rPr>
          <w:rFonts w:ascii="Cambria" w:hAnsi="Cambria" w:cstheme="minorHAnsi"/>
          <w:lang w:val="en-US"/>
        </w:rPr>
        <w:fldChar w:fldCharType="end"/>
      </w:r>
      <w:r w:rsidR="00660340" w:rsidRPr="008F68D6">
        <w:rPr>
          <w:rFonts w:ascii="Cambria" w:hAnsi="Cambria" w:cstheme="minorHAnsi"/>
          <w:lang w:val="en-US"/>
        </w:rPr>
        <w:t xml:space="preserve"> </w:t>
      </w:r>
      <w:r w:rsidR="0070699C" w:rsidRPr="008F68D6">
        <w:rPr>
          <w:rFonts w:ascii="Cambria" w:hAnsi="Cambria" w:cstheme="minorHAnsi"/>
          <w:lang w:val="en-US"/>
        </w:rPr>
        <w:fldChar w:fldCharType="begin"/>
      </w:r>
      <w:r w:rsidR="008B5721" w:rsidRPr="008F68D6">
        <w:rPr>
          <w:rFonts w:ascii="Cambria" w:hAnsi="Cambria" w:cstheme="minorHAnsi"/>
          <w:lang w:val="en-US"/>
        </w:rPr>
        <w:instrText xml:space="preserve"> ADDIN EN.CITE &lt;EndNote&gt;&lt;Cite&gt;&lt;Author&gt;Raz&lt;/Author&gt;&lt;Year&gt;1994&lt;/Year&gt;&lt;RecNum&gt;325&lt;/RecNum&gt;&lt;DisplayText&gt;(Raz 1986, Raz 1994)&lt;/DisplayText&gt;&lt;record&gt;&lt;rec-number&gt;325&lt;/rec-number&gt;&lt;foreign-keys&gt;&lt;key app="EN" db-id="zezpr0wsapzvspe99es52vv30d2rd5x0parp" timestamp="0"&gt;325&lt;/key&gt;&lt;/foreign-keys&gt;&lt;ref-type name="Book"&gt;6&lt;/ref-type&gt;&lt;contributors&gt;&lt;authors&gt;&lt;author&gt;Raz, Joseph&lt;/author&gt;&lt;/authors&gt;&lt;/contributors&gt;&lt;titles&gt;&lt;title&gt;Ethics in the Public Domain&lt;/title&gt;&lt;/titles&gt;&lt;keywords&gt;&lt;keyword&gt;philosophy of law, jurisprudence, Raz&lt;/keyword&gt;&lt;/keywords&gt;&lt;dates&gt;&lt;year&gt;1994&lt;/year&gt;&lt;/dates&gt;&lt;pub-location&gt;Oxford&lt;/pub-location&gt;&lt;publisher&gt;Clarendon Press&lt;/publisher&gt;&lt;urls&gt;&lt;/urls&gt;&lt;/record&gt;&lt;/Cite&gt;&lt;Cite&gt;&lt;Author&gt;Raz&lt;/Author&gt;&lt;Year&gt;1986&lt;/Year&gt;&lt;RecNum&gt;137&lt;/RecNum&gt;&lt;record&gt;&lt;rec-number&gt;137&lt;/rec-number&gt;&lt;foreign-keys&gt;&lt;key app="EN" db-id="zezpr0wsapzvspe99es52vv30d2rd5x0parp" timestamp="0"&gt;137&lt;/key&gt;&lt;/foreign-keys&gt;&lt;ref-type name="Book"&gt;6&lt;/ref-type&gt;&lt;contributors&gt;&lt;authors&gt;&lt;author&gt;Raz, Joseph&lt;/author&gt;&lt;/authors&gt;&lt;/contributors&gt;&lt;titles&gt;&lt;title&gt;The Morality of Freedom&lt;/title&gt;&lt;/titles&gt;&lt;keywords&gt;&lt;keyword&gt;rights, moral philosophy, morality, liberalism, political philosophy, freedom, equality&lt;/keyword&gt;&lt;/keywords&gt;&lt;dates&gt;&lt;year&gt;1986&lt;/year&gt;&lt;/dates&gt;&lt;pub-location&gt;Oxford&lt;/pub-location&gt;&lt;publisher&gt;Clarendon Press&lt;/publisher&gt;&lt;urls&gt;&lt;/urls&gt;&lt;/record&gt;&lt;/Cite&gt;&lt;/EndNote&gt;</w:instrText>
      </w:r>
      <w:r w:rsidR="0070699C" w:rsidRPr="008F68D6">
        <w:rPr>
          <w:rFonts w:ascii="Cambria" w:hAnsi="Cambria" w:cstheme="minorHAnsi"/>
          <w:lang w:val="en-US"/>
        </w:rPr>
        <w:fldChar w:fldCharType="separate"/>
      </w:r>
      <w:r w:rsidR="008B5721" w:rsidRPr="008F68D6">
        <w:rPr>
          <w:rFonts w:ascii="Cambria" w:hAnsi="Cambria" w:cstheme="minorHAnsi"/>
          <w:noProof/>
          <w:lang w:val="en-US"/>
        </w:rPr>
        <w:t>(Raz 1986, Raz 1994)</w:t>
      </w:r>
      <w:r w:rsidR="0070699C" w:rsidRPr="008F68D6">
        <w:rPr>
          <w:rFonts w:ascii="Cambria" w:hAnsi="Cambria" w:cstheme="minorHAnsi"/>
          <w:lang w:val="en-US"/>
        </w:rPr>
        <w:fldChar w:fldCharType="end"/>
      </w:r>
      <w:r w:rsidR="008B5721" w:rsidRPr="008F68D6">
        <w:rPr>
          <w:rFonts w:ascii="Cambria" w:hAnsi="Cambria" w:cstheme="minorHAnsi"/>
          <w:lang w:val="en-US"/>
        </w:rPr>
        <w:t xml:space="preserve"> </w:t>
      </w:r>
      <w:r w:rsidR="009E761C" w:rsidRPr="008F68D6">
        <w:rPr>
          <w:rFonts w:ascii="Cambria" w:hAnsi="Cambria" w:cstheme="minorHAnsi"/>
          <w:lang w:val="en-US"/>
        </w:rPr>
        <w:fldChar w:fldCharType="begin"/>
      </w:r>
      <w:r w:rsidR="009E761C" w:rsidRPr="008F68D6">
        <w:rPr>
          <w:rFonts w:ascii="Cambria" w:hAnsi="Cambria" w:cstheme="minorHAnsi"/>
          <w:lang w:val="en-US"/>
        </w:rPr>
        <w:instrText xml:space="preserve"> ADDIN EN.CITE &lt;EndNote&gt;&lt;Cite&gt;&lt;Author&gt;Raz&lt;/Author&gt;&lt;Year&gt;2003&lt;/Year&gt;&lt;RecNum&gt;824&lt;/RecNum&gt;&lt;DisplayText&gt;(Raz 2003)&lt;/DisplayText&gt;&lt;record&gt;&lt;rec-number&gt;824&lt;/rec-number&gt;&lt;foreign-keys&gt;&lt;key app="EN" db-id="zezpr0wsapzvspe99es52vv30d2rd5x0parp" timestamp="1620799277"&gt;824&lt;/key&gt;&lt;/foreign-keys&gt;&lt;ref-type name="Book"&gt;6&lt;/ref-type&gt;&lt;contributors&gt;&lt;authors&gt;&lt;author&gt;Raz, Joseph&lt;/author&gt;&lt;/authors&gt;&lt;/contributors&gt;&lt;titles&gt;&lt;title&gt;The Practice of Value&lt;/title&gt;&lt;/titles&gt;&lt;dates&gt;&lt;year&gt;2003&lt;/year&gt;&lt;/dates&gt;&lt;pub-location&gt;Oxford&lt;/pub-location&gt;&lt;publisher&gt;Clarendon Press&lt;/publisher&gt;&lt;urls&gt;&lt;/urls&gt;&lt;/record&gt;&lt;/Cite&gt;&lt;/EndNote&gt;</w:instrText>
      </w:r>
      <w:r w:rsidR="009E761C" w:rsidRPr="008F68D6">
        <w:rPr>
          <w:rFonts w:ascii="Cambria" w:hAnsi="Cambria" w:cstheme="minorHAnsi"/>
          <w:lang w:val="en-US"/>
        </w:rPr>
        <w:fldChar w:fldCharType="separate"/>
      </w:r>
      <w:r w:rsidR="009E761C" w:rsidRPr="008F68D6">
        <w:rPr>
          <w:rFonts w:ascii="Cambria" w:hAnsi="Cambria" w:cstheme="minorHAnsi"/>
          <w:noProof/>
          <w:lang w:val="en-US"/>
        </w:rPr>
        <w:t>(Raz 2003)</w:t>
      </w:r>
      <w:r w:rsidR="009E761C" w:rsidRPr="008F68D6">
        <w:rPr>
          <w:rFonts w:ascii="Cambria" w:hAnsi="Cambria" w:cstheme="minorHAnsi"/>
          <w:lang w:val="en-US"/>
        </w:rPr>
        <w:fldChar w:fldCharType="end"/>
      </w:r>
      <w:r w:rsidR="00AF74E1" w:rsidRPr="008F68D6">
        <w:rPr>
          <w:rFonts w:ascii="Cambria" w:hAnsi="Cambria" w:cstheme="minorHAnsi"/>
          <w:lang w:val="en-US"/>
        </w:rPr>
        <w:t xml:space="preserve"> </w:t>
      </w:r>
      <w:r w:rsidR="008807EE" w:rsidRPr="008F68D6">
        <w:rPr>
          <w:rFonts w:ascii="Cambria" w:hAnsi="Cambria" w:cstheme="minorHAnsi"/>
          <w:lang w:val="en-US"/>
        </w:rPr>
        <w:fldChar w:fldCharType="begin"/>
      </w:r>
      <w:r w:rsidR="008807EE" w:rsidRPr="008F68D6">
        <w:rPr>
          <w:rFonts w:ascii="Cambria" w:hAnsi="Cambria" w:cstheme="minorHAnsi"/>
          <w:lang w:val="en-US"/>
        </w:rPr>
        <w:instrText xml:space="preserve"> ADDIN EN.CITE &lt;EndNote&gt;&lt;Cite&gt;&lt;Author&gt;Raz&lt;/Author&gt;&lt;Year&gt;2014&lt;/Year&gt;&lt;RecNum&gt;825&lt;/RecNum&gt;&lt;DisplayText&gt;(Raz 2014)&lt;/DisplayText&gt;&lt;record&gt;&lt;rec-number&gt;825&lt;/rec-number&gt;&lt;foreign-keys&gt;&lt;key app="EN" db-id="zezpr0wsapzvspe99es52vv30d2rd5x0parp" timestamp="1620875129"&gt;825&lt;/key&gt;&lt;/foreign-keys&gt;&lt;ref-type name="Book Section"&gt;5&lt;/ref-type&gt;&lt;contributors&gt;&lt;authors&gt;&lt;author&gt;Raz, Joseph&lt;/author&gt;&lt;/authors&gt;&lt;secondary-authors&gt;&lt;author&gt;Klass, Gregory&lt;/author&gt;&lt;author&gt;Letsas, George&lt;/author&gt;&lt;author&gt;Saprai, Prince&lt;/author&gt;&lt;/secondary-authors&gt;&lt;/contributors&gt;&lt;titles&gt;&lt;title&gt;Is There a Reason to Keep a Promise?&lt;/title&gt;&lt;secondary-title&gt;Philosophical Foundations of Contract Law&lt;/secondary-title&gt;&lt;/titles&gt;&lt;pages&gt;58-77&lt;/pages&gt;&lt;section&gt;4&lt;/section&gt;&lt;dates&gt;&lt;year&gt;2014&lt;/year&gt;&lt;/dates&gt;&lt;pub-location&gt;Oxford&lt;/pub-location&gt;&lt;publisher&gt;Oxford University Press&lt;/publisher&gt;&lt;urls&gt;&lt;/urls&gt;&lt;/record&gt;&lt;/Cite&gt;&lt;/EndNote&gt;</w:instrText>
      </w:r>
      <w:r w:rsidR="008807EE" w:rsidRPr="008F68D6">
        <w:rPr>
          <w:rFonts w:ascii="Cambria" w:hAnsi="Cambria" w:cstheme="minorHAnsi"/>
          <w:lang w:val="en-US"/>
        </w:rPr>
        <w:fldChar w:fldCharType="separate"/>
      </w:r>
      <w:r w:rsidR="008807EE" w:rsidRPr="008F68D6">
        <w:rPr>
          <w:rFonts w:ascii="Cambria" w:hAnsi="Cambria" w:cstheme="minorHAnsi"/>
          <w:noProof/>
          <w:lang w:val="en-US"/>
        </w:rPr>
        <w:t>(Raz 2014)</w:t>
      </w:r>
      <w:r w:rsidR="008807EE" w:rsidRPr="008F68D6">
        <w:rPr>
          <w:rFonts w:ascii="Cambria" w:hAnsi="Cambria" w:cstheme="minorHAnsi"/>
          <w:lang w:val="en-US"/>
        </w:rPr>
        <w:fldChar w:fldCharType="end"/>
      </w:r>
      <w:r w:rsidR="005961C7" w:rsidRPr="008F68D6">
        <w:rPr>
          <w:rFonts w:ascii="Cambria" w:hAnsi="Cambria" w:cstheme="minorHAnsi"/>
          <w:lang w:val="en-US"/>
        </w:rPr>
        <w:t xml:space="preserve"> </w:t>
      </w:r>
      <w:r w:rsidR="00EB6E93" w:rsidRPr="008F68D6">
        <w:rPr>
          <w:rFonts w:ascii="Cambria" w:hAnsi="Cambria" w:cstheme="minorHAnsi"/>
          <w:lang w:val="en-US"/>
        </w:rPr>
        <w:fldChar w:fldCharType="begin"/>
      </w:r>
      <w:r w:rsidR="00EB6E93" w:rsidRPr="008F68D6">
        <w:rPr>
          <w:rFonts w:ascii="Cambria" w:hAnsi="Cambria" w:cstheme="minorHAnsi"/>
          <w:lang w:val="en-US"/>
        </w:rPr>
        <w:instrText xml:space="preserve"> ADDIN EN.CITE &lt;EndNote&gt;&lt;Cite&gt;&lt;Author&gt;Penner&lt;/Author&gt;&lt;Year&gt;2020&lt;/Year&gt;&lt;RecNum&gt;579&lt;/RecNum&gt;&lt;DisplayText&gt;(Penner 2020)&lt;/DisplayText&gt;&lt;record&gt;&lt;rec-number&gt;579&lt;/rec-number&gt;&lt;foreign-keys&gt;&lt;key app="EN" db-id="zezpr0wsapzvspe99es52vv30d2rd5x0parp" timestamp="0"&gt;579&lt;/key&gt;&lt;/foreign-keys&gt;&lt;ref-type name="Book Section"&gt;5&lt;/ref-type&gt;&lt;contributors&gt;&lt;authors&gt;&lt;author&gt;Penner, J E&lt;/author&gt;&lt;/authors&gt;&lt;secondary-authors&gt;&lt;author&gt;Miller, Paul B&lt;/author&gt;&lt;author&gt;Oberdiek, John&lt;/author&gt;&lt;/secondary-authors&gt;&lt;/contributors&gt;&lt;titles&gt;&lt;title&gt;Don’t Crash into Mick Jagger when He is Driving his Rolls Royce: Liability in Damages for Economic Loss Consequent upon a Personal Injury&lt;/title&gt;&lt;secondary-title&gt;Civil Wrongs and Justice in Private Law&lt;/secondary-title&gt;&lt;/titles&gt;&lt;pages&gt;253-271&lt;/pages&gt;&lt;section&gt;12&lt;/section&gt;&lt;dates&gt;&lt;year&gt;2020&lt;/year&gt;&lt;/dates&gt;&lt;pub-location&gt;Oxford&lt;/pub-location&gt;&lt;publisher&gt;Oxford University Press&lt;/publisher&gt;&lt;urls&gt;&lt;/urls&gt;&lt;/record&gt;&lt;/Cite&gt;&lt;/EndNote&gt;</w:instrText>
      </w:r>
      <w:r w:rsidR="00EB6E93" w:rsidRPr="008F68D6">
        <w:rPr>
          <w:rFonts w:ascii="Cambria" w:hAnsi="Cambria" w:cstheme="minorHAnsi"/>
          <w:lang w:val="en-US"/>
        </w:rPr>
        <w:fldChar w:fldCharType="separate"/>
      </w:r>
      <w:r w:rsidR="00EB6E93" w:rsidRPr="008F68D6">
        <w:rPr>
          <w:rFonts w:ascii="Cambria" w:hAnsi="Cambria" w:cstheme="minorHAnsi"/>
          <w:noProof/>
          <w:lang w:val="en-US"/>
        </w:rPr>
        <w:t>(Penner 2020)</w:t>
      </w:r>
      <w:r w:rsidR="00EB6E93" w:rsidRPr="008F68D6">
        <w:rPr>
          <w:rFonts w:ascii="Cambria" w:hAnsi="Cambria" w:cstheme="minorHAnsi"/>
          <w:lang w:val="en-US"/>
        </w:rPr>
        <w:fldChar w:fldCharType="end"/>
      </w:r>
      <w:r w:rsidR="00157D19" w:rsidRPr="008F68D6">
        <w:rPr>
          <w:rFonts w:ascii="Cambria" w:hAnsi="Cambria" w:cstheme="minorHAnsi"/>
          <w:lang w:val="en-US"/>
        </w:rPr>
        <w:t xml:space="preserve"> </w:t>
      </w:r>
      <w:r w:rsidR="00677F6B" w:rsidRPr="008F68D6">
        <w:rPr>
          <w:rFonts w:ascii="Cambria" w:hAnsi="Cambria" w:cstheme="minorHAnsi"/>
          <w:lang w:val="en-US"/>
        </w:rPr>
        <w:fldChar w:fldCharType="begin"/>
      </w:r>
      <w:r w:rsidR="00677F6B" w:rsidRPr="008F68D6">
        <w:rPr>
          <w:rFonts w:ascii="Cambria" w:hAnsi="Cambria" w:cstheme="minorHAnsi"/>
          <w:lang w:val="en-US"/>
        </w:rPr>
        <w:instrText xml:space="preserve"> ADDIN EN.CITE &lt;EndNote&gt;&lt;Cite&gt;&lt;Author&gt;Penner&lt;/Author&gt;&lt;Year&gt;2018&lt;/Year&gt;&lt;RecNum&gt;423&lt;/RecNum&gt;&lt;DisplayText&gt;(Penner 2018)&lt;/DisplayText&gt;&lt;record&gt;&lt;rec-number&gt;423&lt;/rec-number&gt;&lt;foreign-keys&gt;&lt;key app="EN" db-id="zezpr0wsapzvspe99es52vv30d2rd5x0parp" timestamp="0"&gt;423&lt;/key&gt;&lt;/foreign-keys&gt;&lt;ref-type name="Book Section"&gt;5&lt;/ref-type&gt;&lt;contributors&gt;&lt;authors&gt;&lt;author&gt;Penner, J.E.&lt;/author&gt;&lt;/authors&gt;&lt;secondary-authors&gt;&lt;author&gt;Dowdle, Michael&lt;/author&gt;&lt;author&gt;Wilikinson, Michael&lt;/author&gt;&lt;/secondary-authors&gt;&lt;/contributors&gt;&lt;titles&gt;&lt;title&gt;&lt;style face="normal" font="default" size="100%"&gt;Private Law, &lt;/style&gt;&lt;style face="italic" font="default" size="100%"&gt;Potentia&lt;/style&gt;&lt;style face="normal" font="default" size="100%"&gt; and the Ethical: On What Justification Does the State Coercively Tax its Subjects in Order to Build Bridges, Fund the BBC, and Subsidise Charities?&lt;/style&gt;&lt;/title&gt;&lt;secondary-title&gt;Questioning the Foundations of Public Law&lt;/secondary-title&gt;&lt;/titles&gt;&lt;pages&gt;99-113&lt;/pages&gt;&lt;section&gt;7&lt;/section&gt;&lt;dates&gt;&lt;year&gt;2018&lt;/year&gt;&lt;/dates&gt;&lt;pub-location&gt;Oxford&lt;/pub-location&gt;&lt;publisher&gt;Hart&lt;/publisher&gt;&lt;urls&gt;&lt;/urls&gt;&lt;/record&gt;&lt;/Cite&gt;&lt;/EndNote&gt;</w:instrText>
      </w:r>
      <w:r w:rsidR="00677F6B" w:rsidRPr="008F68D6">
        <w:rPr>
          <w:rFonts w:ascii="Cambria" w:hAnsi="Cambria" w:cstheme="minorHAnsi"/>
          <w:lang w:val="en-US"/>
        </w:rPr>
        <w:fldChar w:fldCharType="separate"/>
      </w:r>
      <w:r w:rsidR="00677F6B" w:rsidRPr="008F68D6">
        <w:rPr>
          <w:rFonts w:ascii="Cambria" w:hAnsi="Cambria" w:cstheme="minorHAnsi"/>
          <w:noProof/>
          <w:lang w:val="en-US"/>
        </w:rPr>
        <w:t>(Penner 2018)</w:t>
      </w:r>
      <w:r w:rsidR="00677F6B" w:rsidRPr="008F68D6">
        <w:rPr>
          <w:rFonts w:ascii="Cambria" w:hAnsi="Cambria" w:cstheme="minorHAnsi"/>
          <w:lang w:val="en-US"/>
        </w:rPr>
        <w:fldChar w:fldCharType="end"/>
      </w:r>
      <w:r w:rsidR="0096115E" w:rsidRPr="008F68D6">
        <w:rPr>
          <w:rFonts w:ascii="Cambria" w:hAnsi="Cambria" w:cstheme="minorHAnsi"/>
          <w:lang w:val="en-US"/>
        </w:rPr>
        <w:t xml:space="preserve"> </w:t>
      </w:r>
      <w:r w:rsidR="007B2B40" w:rsidRPr="008F68D6">
        <w:rPr>
          <w:rFonts w:ascii="Cambria" w:hAnsi="Cambria" w:cstheme="minorHAnsi"/>
          <w:lang w:val="en-US"/>
        </w:rPr>
        <w:fldChar w:fldCharType="begin"/>
      </w:r>
      <w:r w:rsidR="007B2B40" w:rsidRPr="008F68D6">
        <w:rPr>
          <w:rFonts w:ascii="Cambria" w:hAnsi="Cambria" w:cstheme="minorHAnsi"/>
          <w:lang w:val="en-US"/>
        </w:rPr>
        <w:instrText xml:space="preserve"> ADDIN EN.CITE &lt;EndNote&gt;&lt;Cite&gt;&lt;Author&gt;Penner&lt;/Author&gt;&lt;Year&gt;2020&lt;/Year&gt;&lt;RecNum&gt;826&lt;/RecNum&gt;&lt;DisplayText&gt;(Penner 2020)&lt;/DisplayText&gt;&lt;record&gt;&lt;rec-number&gt;826&lt;/rec-number&gt;&lt;foreign-keys&gt;&lt;key app="EN" db-id="zezpr0wsapzvspe99es52vv30d2rd5x0parp" timestamp="1620888265"&gt;826&lt;/key&gt;&lt;/foreign-keys&gt;&lt;ref-type name="Book Section"&gt;5&lt;/ref-type&gt;&lt;contributors&gt;&lt;authors&gt;&lt;author&gt;Penner, James&lt;/author&gt;&lt;/authors&gt;&lt;secondary-authors&gt;&lt;author&gt;Degeling, Simone&lt;/author&gt;&lt;author&gt;Crawford, Michael JR&lt;/author&gt;&lt;author&gt;Tiverios, Nicholas A&lt;/author&gt;&lt;/secondary-authors&gt;&lt;/contributors&gt;&lt;titles&gt;&lt;title&gt;Justifying Private Law: ‘Reasons Fundamentalist’ Instrumentalism and the Kantian Account&lt;/title&gt;&lt;secondary-title&gt;Justifying Private Rights&lt;/secondary-title&gt;&lt;/titles&gt;&lt;pages&gt;45-62&lt;/pages&gt;&lt;section&gt;3&lt;/section&gt;&lt;dates&gt;&lt;year&gt;2020&lt;/year&gt;&lt;/dates&gt;&lt;pub-location&gt;Oxford&lt;/pub-location&gt;&lt;publisher&gt;Hart&lt;/publisher&gt;&lt;urls&gt;&lt;/urls&gt;&lt;/record&gt;&lt;/Cite&gt;&lt;/EndNote&gt;</w:instrText>
      </w:r>
      <w:r w:rsidR="007B2B40" w:rsidRPr="008F68D6">
        <w:rPr>
          <w:rFonts w:ascii="Cambria" w:hAnsi="Cambria" w:cstheme="minorHAnsi"/>
          <w:lang w:val="en-US"/>
        </w:rPr>
        <w:fldChar w:fldCharType="separate"/>
      </w:r>
      <w:r w:rsidR="007B2B40" w:rsidRPr="008F68D6">
        <w:rPr>
          <w:rFonts w:ascii="Cambria" w:hAnsi="Cambria" w:cstheme="minorHAnsi"/>
          <w:noProof/>
          <w:lang w:val="en-US"/>
        </w:rPr>
        <w:t>(Penner 2020)</w:t>
      </w:r>
      <w:r w:rsidR="007B2B40" w:rsidRPr="008F68D6">
        <w:rPr>
          <w:rFonts w:ascii="Cambria" w:hAnsi="Cambria" w:cstheme="minorHAnsi"/>
          <w:lang w:val="en-US"/>
        </w:rPr>
        <w:fldChar w:fldCharType="end"/>
      </w:r>
      <w:r w:rsidR="0080124E" w:rsidRPr="008F68D6">
        <w:rPr>
          <w:rFonts w:ascii="Cambria" w:hAnsi="Cambria" w:cstheme="minorHAnsi"/>
          <w:lang w:val="en-US"/>
        </w:rPr>
        <w:t xml:space="preserve"> </w:t>
      </w:r>
      <w:r w:rsidR="007E4805" w:rsidRPr="008F68D6">
        <w:rPr>
          <w:rFonts w:ascii="Cambria" w:hAnsi="Cambria" w:cstheme="minorHAnsi"/>
          <w:lang w:val="en-US"/>
        </w:rPr>
        <w:fldChar w:fldCharType="begin"/>
      </w:r>
      <w:r w:rsidR="007A3D57" w:rsidRPr="008F68D6">
        <w:rPr>
          <w:rFonts w:ascii="Cambria" w:hAnsi="Cambria" w:cstheme="minorHAnsi"/>
          <w:lang w:val="en-US"/>
        </w:rPr>
        <w:instrText xml:space="preserve"> ADDIN EN.CITE &lt;EndNote&gt;&lt;Cite&gt;&lt;Author&gt;Penner&lt;/Author&gt;&lt;Year&gt;2020&lt;/Year&gt;&lt;RecNum&gt;826&lt;/RecNum&gt;&lt;DisplayText&gt;(Penner 2020, Penner 2020)&lt;/DisplayText&gt;&lt;record&gt;&lt;rec-number&gt;826&lt;/rec-number&gt;&lt;foreign-keys&gt;&lt;key app="EN" db-id="zezpr0wsapzvspe99es52vv30d2rd5x0parp" timestamp="1620888265"&gt;826&lt;/key&gt;&lt;/foreign-keys&gt;&lt;ref-type name="Book Section"&gt;5&lt;/ref-type&gt;&lt;contributors&gt;&lt;authors&gt;&lt;author&gt;Penner, James&lt;/author&gt;&lt;/authors&gt;&lt;secondary-authors&gt;&lt;author&gt;Degeling, Simone&lt;/author&gt;&lt;author&gt;Crawford, Michael JR&lt;/author&gt;&lt;author&gt;Tiverios, Nicholas A&lt;/author&gt;&lt;/secondary-authors&gt;&lt;/contributors&gt;&lt;titles&gt;&lt;title&gt;Justifying Private Law: ‘Reasons Fundamentalist’ Instrumentalism and the Kantian Account&lt;/title&gt;&lt;secondary-title&gt;Justifying Private Rights&lt;/secondary-title&gt;&lt;/titles&gt;&lt;pages&gt;45-62&lt;/pages&gt;&lt;section&gt;3&lt;/section&gt;&lt;dates&gt;&lt;year&gt;2020&lt;/year&gt;&lt;/dates&gt;&lt;pub-location&gt;Oxford&lt;/pub-location&gt;&lt;publisher&gt;Hart&lt;/publisher&gt;&lt;urls&gt;&lt;/urls&gt;&lt;/record&gt;&lt;/Cite&gt;&lt;Cite&gt;&lt;Author&gt;Penner&lt;/Author&gt;&lt;Year&gt;2020&lt;/Year&gt;&lt;RecNum&gt;653&lt;/RecNum&gt;&lt;record&gt;&lt;rec-number&gt;653&lt;/rec-number&gt;&lt;foreign-keys&gt;&lt;key app="EN" db-id="zezpr0wsapzvspe99es52vv30d2rd5x0parp" timestamp="0"&gt;653&lt;/key&gt;&lt;/foreign-keys&gt;&lt;ref-type name="Book"&gt;6&lt;/ref-type&gt;&lt;contributors&gt;&lt;authors&gt;&lt;author&gt;Penner, J E&lt;/author&gt;&lt;/authors&gt;&lt;/contributors&gt;&lt;titles&gt;&lt;title&gt;Property Rights: A Re-Examination&lt;/title&gt;&lt;/titles&gt;&lt;dates&gt;&lt;year&gt;2020&lt;/year&gt;&lt;/dates&gt;&lt;pub-location&gt;Oxford&lt;/pub-location&gt;&lt;publisher&gt;Oxford University Press&lt;/publisher&gt;&lt;urls&gt;&lt;/urls&gt;&lt;/record&gt;&lt;/Cite&gt;&lt;/EndNote&gt;</w:instrText>
      </w:r>
      <w:r w:rsidR="007E4805" w:rsidRPr="008F68D6">
        <w:rPr>
          <w:rFonts w:ascii="Cambria" w:hAnsi="Cambria" w:cstheme="minorHAnsi"/>
          <w:lang w:val="en-US"/>
        </w:rPr>
        <w:fldChar w:fldCharType="separate"/>
      </w:r>
      <w:r w:rsidR="007A3D57" w:rsidRPr="008F68D6">
        <w:rPr>
          <w:rFonts w:ascii="Cambria" w:hAnsi="Cambria" w:cstheme="minorHAnsi"/>
          <w:noProof/>
          <w:lang w:val="en-US"/>
        </w:rPr>
        <w:t>(Penner 2020, Penner 2020)</w:t>
      </w:r>
      <w:r w:rsidR="007E4805" w:rsidRPr="008F68D6">
        <w:rPr>
          <w:rFonts w:ascii="Cambria" w:hAnsi="Cambria" w:cstheme="minorHAnsi"/>
          <w:lang w:val="en-US"/>
        </w:rPr>
        <w:fldChar w:fldCharType="end"/>
      </w:r>
      <w:r w:rsidR="00575519" w:rsidRPr="008F68D6">
        <w:rPr>
          <w:rFonts w:ascii="Cambria" w:hAnsi="Cambria" w:cstheme="minorHAnsi"/>
          <w:lang w:val="en-US"/>
        </w:rPr>
        <w:t xml:space="preserve"> </w:t>
      </w:r>
      <w:r w:rsidR="00C66BAD" w:rsidRPr="008F68D6">
        <w:rPr>
          <w:rFonts w:ascii="Cambria" w:hAnsi="Cambria" w:cstheme="minorHAnsi"/>
          <w:lang w:val="en-US"/>
        </w:rPr>
        <w:fldChar w:fldCharType="begin"/>
      </w:r>
      <w:r w:rsidR="00C66BAD" w:rsidRPr="008F68D6">
        <w:rPr>
          <w:rFonts w:ascii="Cambria" w:hAnsi="Cambria" w:cstheme="minorHAnsi"/>
          <w:lang w:val="en-US"/>
        </w:rPr>
        <w:instrText xml:space="preserve"> ADDIN EN.CITE &lt;EndNote&gt;&lt;Cite&gt;&lt;Author&gt;Raz&lt;/Author&gt;&lt;Year&gt;2010&lt;/Year&gt;&lt;RecNum&gt;233&lt;/RecNum&gt;&lt;DisplayText&gt;(Raz 2010)&lt;/DisplayText&gt;&lt;record&gt;&lt;rec-number&gt;233&lt;/rec-number&gt;&lt;foreign-keys&gt;&lt;key app="EN" db-id="zezpr0wsapzvspe99es52vv30d2rd5x0parp" timestamp="0"&gt;233&lt;/key&gt;&lt;/foreign-keys&gt;&lt;ref-type name="Journal Article"&gt;17&lt;/ref-type&gt;&lt;contributors&gt;&lt;authors&gt;&lt;author&gt;Raz, J.&lt;/author&gt;&lt;/authors&gt;&lt;/contributors&gt;&lt;titles&gt;&lt;title&gt;Responsibility and the Negligence Standard&lt;/title&gt;&lt;secondary-title&gt;Oxford Journal of Legal Studies&lt;/secondary-title&gt;&lt;/titles&gt;&lt;pages&gt;1-18&lt;/pages&gt;&lt;volume&gt;30&lt;/volume&gt;&lt;number&gt;1&lt;/number&gt;&lt;dates&gt;&lt;year&gt;2010&lt;/year&gt;&lt;/dates&gt;&lt;isbn&gt;0143-6503&amp;#xD;1464-3820&lt;/isbn&gt;&lt;urls&gt;&lt;/urls&gt;&lt;electronic-resource-num&gt;10.1093/ojls/gqq002&lt;/electronic-resource-num&gt;&lt;/record&gt;&lt;/Cite&gt;&lt;/EndNote&gt;</w:instrText>
      </w:r>
      <w:r w:rsidR="00C66BAD" w:rsidRPr="008F68D6">
        <w:rPr>
          <w:rFonts w:ascii="Cambria" w:hAnsi="Cambria" w:cstheme="minorHAnsi"/>
          <w:lang w:val="en-US"/>
        </w:rPr>
        <w:fldChar w:fldCharType="separate"/>
      </w:r>
      <w:r w:rsidR="00C66BAD" w:rsidRPr="008F68D6">
        <w:rPr>
          <w:rFonts w:ascii="Cambria" w:hAnsi="Cambria" w:cstheme="minorHAnsi"/>
          <w:noProof/>
          <w:lang w:val="en-US"/>
        </w:rPr>
        <w:t>(Raz 2010)</w:t>
      </w:r>
      <w:r w:rsidR="00C66BAD" w:rsidRPr="008F68D6">
        <w:rPr>
          <w:rFonts w:ascii="Cambria" w:hAnsi="Cambria" w:cstheme="minorHAnsi"/>
          <w:lang w:val="en-US"/>
        </w:rPr>
        <w:fldChar w:fldCharType="end"/>
      </w:r>
      <w:r w:rsidR="00130218">
        <w:rPr>
          <w:rFonts w:ascii="Cambria" w:hAnsi="Cambria" w:cstheme="minorHAnsi"/>
          <w:lang w:val="en-US"/>
        </w:rPr>
        <w:t xml:space="preserve"> </w:t>
      </w:r>
      <w:r w:rsidR="0039606C">
        <w:rPr>
          <w:rFonts w:ascii="Cambria" w:hAnsi="Cambria" w:cstheme="minorHAnsi"/>
          <w:lang w:val="en-US"/>
        </w:rPr>
        <w:fldChar w:fldCharType="begin"/>
      </w:r>
      <w:r w:rsidR="0039606C">
        <w:rPr>
          <w:rFonts w:ascii="Cambria" w:hAnsi="Cambria" w:cstheme="minorHAnsi"/>
          <w:lang w:val="en-US"/>
        </w:rPr>
        <w:instrText xml:space="preserve"> ADDIN EN.CITE &lt;EndNote&gt;&lt;Cite&gt;&lt;Author&gt;Green&lt;/Author&gt;&lt;Year&gt;2018&lt;/Year&gt;&lt;RecNum&gt;827&lt;/RecNum&gt;&lt;DisplayText&gt;(Green 2018)&lt;/DisplayText&gt;&lt;record&gt;&lt;rec-number&gt;827&lt;/rec-number&gt;&lt;foreign-keys&gt;&lt;key app="EN" db-id="zezpr0wsapzvspe99es52vv30d2rd5x0parp" timestamp="1620897557"&gt;827&lt;/key&gt;&lt;/foreign-keys&gt;&lt;ref-type name="Conference Paper"&gt;47&lt;/ref-type&gt;&lt;contributors&gt;&lt;authors&gt;&lt;author&gt;Green, Leslie&lt;/author&gt;&lt;/authors&gt;&lt;/contributors&gt;&lt;titles&gt;&lt;title&gt;Escapable Law: Gardner on Law and Morality&lt;/title&gt;&lt;secondary-title&gt;Oxford Legal Research Paper Series 1 Paper No 18&lt;/secondary-title&gt;&lt;/titles&gt;&lt;pages&gt;1-24&lt;/pages&gt;&lt;dates&gt;&lt;year&gt;2018&lt;/year&gt;&lt;/dates&gt;&lt;urls&gt;&lt;/urls&gt;&lt;/record&gt;&lt;/Cite&gt;&lt;/EndNote&gt;</w:instrText>
      </w:r>
      <w:r w:rsidR="0039606C">
        <w:rPr>
          <w:rFonts w:ascii="Cambria" w:hAnsi="Cambria" w:cstheme="minorHAnsi"/>
          <w:lang w:val="en-US"/>
        </w:rPr>
        <w:fldChar w:fldCharType="separate"/>
      </w:r>
      <w:r w:rsidR="0039606C">
        <w:rPr>
          <w:rFonts w:ascii="Cambria" w:hAnsi="Cambria" w:cstheme="minorHAnsi"/>
          <w:noProof/>
          <w:lang w:val="en-US"/>
        </w:rPr>
        <w:t>(Green 2018)</w:t>
      </w:r>
      <w:r w:rsidR="0039606C">
        <w:rPr>
          <w:rFonts w:ascii="Cambria" w:hAnsi="Cambria" w:cstheme="minorHAnsi"/>
          <w:lang w:val="en-US"/>
        </w:rPr>
        <w:fldChar w:fldCharType="end"/>
      </w:r>
      <w:r w:rsidR="00EE672B">
        <w:rPr>
          <w:rFonts w:ascii="Cambria" w:hAnsi="Cambria" w:cstheme="minorHAnsi"/>
          <w:lang w:val="en-US"/>
        </w:rPr>
        <w:t xml:space="preserve"> </w:t>
      </w:r>
      <w:r w:rsidR="00637237">
        <w:rPr>
          <w:rFonts w:ascii="Cambria" w:hAnsi="Cambria" w:cstheme="minorHAnsi"/>
          <w:lang w:val="en-US"/>
        </w:rPr>
        <w:fldChar w:fldCharType="begin"/>
      </w:r>
      <w:r w:rsidR="00637237">
        <w:rPr>
          <w:rFonts w:ascii="Cambria" w:hAnsi="Cambria" w:cstheme="minorHAnsi"/>
          <w:lang w:val="en-US"/>
        </w:rPr>
        <w:instrText xml:space="preserve"> ADDIN EN.CITE &lt;EndNote&gt;&lt;Cite&gt;&lt;Author&gt;Baker&lt;/Author&gt;&lt;Year&gt;2001&lt;/Year&gt;&lt;RecNum&gt;828&lt;/RecNum&gt;&lt;DisplayText&gt;(Baker 2001)&lt;/DisplayText&gt;&lt;record&gt;&lt;rec-number&gt;828&lt;/rec-number&gt;&lt;foreign-keys&gt;&lt;key app="EN" db-id="zezpr0wsapzvspe99es52vv30d2rd5x0parp" timestamp="1620963369"&gt;828&lt;/key&gt;&lt;/foreign-keys&gt;&lt;ref-type name="Book"&gt;6&lt;/ref-type&gt;&lt;contributors&gt;&lt;authors&gt;&lt;author&gt;Baker, J H&lt;/author&gt;&lt;/authors&gt;&lt;/contributors&gt;&lt;titles&gt;&lt;title&gt;The Law’s Two Bodies&lt;/title&gt;&lt;/titles&gt;&lt;dates&gt;&lt;year&gt;2001&lt;/year&gt;&lt;/dates&gt;&lt;pub-location&gt;Oxford&lt;/pub-location&gt;&lt;publisher&gt;Oxford University Press&lt;/publisher&gt;&lt;urls&gt;&lt;/urls&gt;&lt;/record&gt;&lt;/Cite&gt;&lt;/EndNote&gt;</w:instrText>
      </w:r>
      <w:r w:rsidR="00637237">
        <w:rPr>
          <w:rFonts w:ascii="Cambria" w:hAnsi="Cambria" w:cstheme="minorHAnsi"/>
          <w:lang w:val="en-US"/>
        </w:rPr>
        <w:fldChar w:fldCharType="separate"/>
      </w:r>
      <w:r w:rsidR="00637237">
        <w:rPr>
          <w:rFonts w:ascii="Cambria" w:hAnsi="Cambria" w:cstheme="minorHAnsi"/>
          <w:noProof/>
          <w:lang w:val="en-US"/>
        </w:rPr>
        <w:t>(Baker 2001)</w:t>
      </w:r>
      <w:r w:rsidR="00637237">
        <w:rPr>
          <w:rFonts w:ascii="Cambria" w:hAnsi="Cambria" w:cstheme="minorHAnsi"/>
          <w:lang w:val="en-US"/>
        </w:rPr>
        <w:fldChar w:fldCharType="end"/>
      </w:r>
      <w:r w:rsidR="00F3789D">
        <w:rPr>
          <w:rFonts w:ascii="Cambria" w:hAnsi="Cambria" w:cstheme="minorHAnsi"/>
          <w:lang w:val="en-US"/>
        </w:rPr>
        <w:t xml:space="preserve"> </w:t>
      </w:r>
      <w:r w:rsidR="00255CB4">
        <w:rPr>
          <w:rFonts w:ascii="Cambria" w:hAnsi="Cambria" w:cstheme="minorHAnsi"/>
          <w:lang w:val="en-US"/>
        </w:rPr>
        <w:fldChar w:fldCharType="begin"/>
      </w:r>
      <w:r w:rsidR="00255CB4">
        <w:rPr>
          <w:rFonts w:ascii="Cambria" w:hAnsi="Cambria" w:cstheme="minorHAnsi"/>
          <w:lang w:val="en-US"/>
        </w:rPr>
        <w:instrText xml:space="preserve"> ADDIN EN.CITE &lt;EndNote&gt;&lt;Cite&gt;&lt;Author&gt;Penner&lt;/Author&gt;&lt;Year&gt;2011&lt;/Year&gt;&lt;RecNum&gt;444&lt;/RecNum&gt;&lt;DisplayText&gt;(Penner 2011)&lt;/DisplayText&gt;&lt;record&gt;&lt;rec-number&gt;444&lt;/rec-number&gt;&lt;foreign-keys&gt;&lt;key app="EN" db-id="zezpr0wsapzvspe99es52vv30d2rd5x0parp" timestamp="0"&gt;444&lt;/key&gt;&lt;/foreign-keys&gt;&lt;ref-type name="Journal Article"&gt;17&lt;/ref-type&gt;&lt;contributors&gt;&lt;authors&gt;&lt;author&gt;Penner, J. E.&lt;/author&gt;&lt;/authors&gt;&lt;/contributors&gt;&lt;titles&gt;&lt;title&gt;Potentiality, Actuality, and &amp;quot;Stick&amp;quot;-Theory&lt;/title&gt;&lt;secondary-title&gt;Econ Journal Watch&lt;/secondary-title&gt;&lt;/titles&gt;&lt;pages&gt;274-78&lt;/pages&gt;&lt;volume&gt;8&lt;/volume&gt;&lt;section&gt;274&lt;/section&gt;&lt;dates&gt;&lt;year&gt;2011&lt;/year&gt;&lt;/dates&gt;&lt;urls&gt;&lt;/urls&gt;&lt;/record&gt;&lt;/Cite&gt;&lt;/EndNote&gt;</w:instrText>
      </w:r>
      <w:r w:rsidR="00255CB4">
        <w:rPr>
          <w:rFonts w:ascii="Cambria" w:hAnsi="Cambria" w:cstheme="minorHAnsi"/>
          <w:lang w:val="en-US"/>
        </w:rPr>
        <w:fldChar w:fldCharType="separate"/>
      </w:r>
      <w:r w:rsidR="00255CB4">
        <w:rPr>
          <w:rFonts w:ascii="Cambria" w:hAnsi="Cambria" w:cstheme="minorHAnsi"/>
          <w:noProof/>
          <w:lang w:val="en-US"/>
        </w:rPr>
        <w:t>(Penner 2011)</w:t>
      </w:r>
      <w:r w:rsidR="00255CB4">
        <w:rPr>
          <w:rFonts w:ascii="Cambria" w:hAnsi="Cambria" w:cstheme="minorHAnsi"/>
          <w:lang w:val="en-US"/>
        </w:rPr>
        <w:fldChar w:fldCharType="end"/>
      </w:r>
      <w:r w:rsidR="0039492B">
        <w:rPr>
          <w:rFonts w:ascii="Cambria" w:hAnsi="Cambria" w:cstheme="minorHAnsi"/>
          <w:lang w:val="en-US"/>
        </w:rPr>
        <w:t xml:space="preserve"> </w:t>
      </w:r>
      <w:r w:rsidR="007A3AF2">
        <w:rPr>
          <w:rFonts w:ascii="Cambria" w:hAnsi="Cambria" w:cstheme="minorHAnsi"/>
          <w:lang w:val="en-US"/>
        </w:rPr>
        <w:lastRenderedPageBreak/>
        <w:fldChar w:fldCharType="begin"/>
      </w:r>
      <w:r w:rsidR="007A3AF2">
        <w:rPr>
          <w:rFonts w:ascii="Cambria" w:hAnsi="Cambria" w:cstheme="minorHAnsi"/>
          <w:lang w:val="en-US"/>
        </w:rPr>
        <w:instrText xml:space="preserve"> ADDIN EN.CITE &lt;EndNote&gt;&lt;Cite&gt;&lt;Author&gt;Gardner&lt;/Author&gt;&lt;Year&gt;2014&lt;/Year&gt;&lt;RecNum&gt;562&lt;/RecNum&gt;&lt;DisplayText&gt;(Gardner 2014)&lt;/DisplayText&gt;&lt;record&gt;&lt;rec-number&gt;562&lt;/rec-number&gt;&lt;foreign-keys&gt;&lt;key app="EN" db-id="zezpr0wsapzvspe99es52vv30d2rd5x0parp" timestamp="0"&gt;562&lt;/key&gt;&lt;/foreign-keys&gt;&lt;ref-type name="Book Section"&gt;5&lt;/ref-type&gt;&lt;contributors&gt;&lt;authors&gt;&lt;author&gt;Gardner, John&lt;/author&gt;&lt;/authors&gt;&lt;secondary-authors&gt;&lt;author&gt;Oberdiek, John&lt;/author&gt;&lt;/secondary-authors&gt;&lt;/contributors&gt;&lt;titles&gt;&lt;title&gt;What is Tort Law For? Part 2. The Place of Distributive Justice&lt;/title&gt;&lt;secondary-title&gt;Philosophical Foundations of the Law of Torts&lt;/secondary-title&gt;&lt;/titles&gt;&lt;pages&gt;335-353&lt;/pages&gt;&lt;section&gt;16&lt;/section&gt;&lt;dates&gt;&lt;year&gt;2014&lt;/year&gt;&lt;/dates&gt;&lt;pub-location&gt;Oxford&lt;/pub-location&gt;&lt;publisher&gt;Oxford University Press&lt;/publisher&gt;&lt;urls&gt;&lt;/urls&gt;&lt;/record&gt;&lt;/Cite&gt;&lt;/EndNote&gt;</w:instrText>
      </w:r>
      <w:r w:rsidR="007A3AF2">
        <w:rPr>
          <w:rFonts w:ascii="Cambria" w:hAnsi="Cambria" w:cstheme="minorHAnsi"/>
          <w:lang w:val="en-US"/>
        </w:rPr>
        <w:fldChar w:fldCharType="separate"/>
      </w:r>
      <w:r w:rsidR="007A3AF2">
        <w:rPr>
          <w:rFonts w:ascii="Cambria" w:hAnsi="Cambria" w:cstheme="minorHAnsi"/>
          <w:noProof/>
          <w:lang w:val="en-US"/>
        </w:rPr>
        <w:t>(Gardner 2014)</w:t>
      </w:r>
      <w:r w:rsidR="007A3AF2">
        <w:rPr>
          <w:rFonts w:ascii="Cambria" w:hAnsi="Cambria" w:cstheme="minorHAnsi"/>
          <w:lang w:val="en-US"/>
        </w:rPr>
        <w:fldChar w:fldCharType="end"/>
      </w:r>
      <w:r w:rsidR="00B96FD8">
        <w:rPr>
          <w:rFonts w:ascii="Cambria" w:hAnsi="Cambria" w:cstheme="minorHAnsi"/>
          <w:lang w:val="en-US"/>
        </w:rPr>
        <w:t xml:space="preserve"> </w:t>
      </w:r>
      <w:r w:rsidR="001379D3">
        <w:rPr>
          <w:rFonts w:ascii="Cambria" w:hAnsi="Cambria" w:cstheme="minorHAnsi"/>
          <w:lang w:val="en-US"/>
        </w:rPr>
        <w:fldChar w:fldCharType="begin"/>
      </w:r>
      <w:r w:rsidR="001379D3">
        <w:rPr>
          <w:rFonts w:ascii="Cambria" w:hAnsi="Cambria" w:cstheme="minorHAnsi"/>
          <w:lang w:val="en-US"/>
        </w:rPr>
        <w:instrText xml:space="preserve"> ADDIN EN.CITE &lt;EndNote&gt;&lt;Cite&gt;&lt;Author&gt;Penner&lt;/Author&gt;&lt;Year&gt;2021&lt;/Year&gt;&lt;RecNum&gt;1&lt;/RecNum&gt;&lt;DisplayText&gt;(Penner 2021)&lt;/DisplayText&gt;&lt;record&gt;&lt;rec-number&gt;1&lt;/rec-number&gt;&lt;foreign-keys&gt;&lt;key app="EN" db-id="50x5az008zxe02errx2pfpwzxepav59dtadr" timestamp="1624783202"&gt;1&lt;/key&gt;&lt;/foreign-keys&gt;&lt;ref-type name="Book Section"&gt;5&lt;/ref-type&gt;&lt;contributors&gt;&lt;authors&gt;&lt;author&gt;Penner, James&lt;/author&gt;&lt;/authors&gt;&lt;secondary-authors&gt;&lt;author&gt;Degeling, Simone&lt;/author&gt;&lt;author&gt;Crawford, Michael&lt;/author&gt;&lt;author&gt;Tiverios, Nicholas&lt;/author&gt;&lt;/secondary-authors&gt;&lt;/contributors&gt;&lt;titles&gt;&lt;title&gt;Justifying Private Law: “Reasons Fundamentalist” Instrumentalism and the Kantian Account&lt;/title&gt;&lt;secondary-title&gt;Justifying Private Rights&lt;/secondary-title&gt;&lt;/titles&gt;&lt;pages&gt;45-62&lt;/pages&gt;&lt;section&gt;3&lt;/section&gt;&lt;dates&gt;&lt;year&gt;2021&lt;/year&gt;&lt;/dates&gt;&lt;pub-location&gt;Oxford&lt;/pub-location&gt;&lt;publisher&gt;Hart&lt;/publisher&gt;&lt;urls&gt;&lt;/urls&gt;&lt;/record&gt;&lt;/Cite&gt;&lt;/EndNote&gt;</w:instrText>
      </w:r>
      <w:r w:rsidR="001379D3">
        <w:rPr>
          <w:rFonts w:ascii="Cambria" w:hAnsi="Cambria" w:cstheme="minorHAnsi"/>
          <w:lang w:val="en-US"/>
        </w:rPr>
        <w:fldChar w:fldCharType="separate"/>
      </w:r>
      <w:r w:rsidR="001379D3">
        <w:rPr>
          <w:rFonts w:ascii="Cambria" w:hAnsi="Cambria" w:cstheme="minorHAnsi"/>
          <w:noProof/>
          <w:lang w:val="en-US"/>
        </w:rPr>
        <w:t>(Penner 2021)</w:t>
      </w:r>
      <w:r w:rsidR="001379D3">
        <w:rPr>
          <w:rFonts w:ascii="Cambria" w:hAnsi="Cambria" w:cstheme="minorHAnsi"/>
          <w:lang w:val="en-US"/>
        </w:rPr>
        <w:fldChar w:fldCharType="end"/>
      </w:r>
      <w:r w:rsidR="00A5591E">
        <w:rPr>
          <w:rFonts w:ascii="Cambria" w:hAnsi="Cambria" w:cstheme="minorHAnsi"/>
          <w:lang w:val="en-US"/>
        </w:rPr>
        <w:t xml:space="preserve"> </w:t>
      </w:r>
      <w:r w:rsidR="00A5591E">
        <w:rPr>
          <w:rFonts w:ascii="Cambria" w:hAnsi="Cambria" w:cstheme="minorHAnsi"/>
          <w:lang w:val="en-US"/>
        </w:rPr>
        <w:fldChar w:fldCharType="begin"/>
      </w:r>
      <w:r w:rsidR="00A5591E">
        <w:rPr>
          <w:rFonts w:ascii="Cambria" w:hAnsi="Cambria" w:cstheme="minorHAnsi"/>
          <w:lang w:val="en-US"/>
        </w:rPr>
        <w:instrText xml:space="preserve"> ADDIN EN.CITE &lt;EndNote&gt;&lt;Cite&gt;&lt;Author&gt;Gardner&lt;/Author&gt;&lt;Year&gt;2018&lt;/Year&gt;&lt;RecNum&gt;2&lt;/RecNum&gt;&lt;DisplayText&gt;(Gardner 2018)&lt;/DisplayText&gt;&lt;record&gt;&lt;rec-number&gt;2&lt;/rec-number&gt;&lt;foreign-keys&gt;&lt;key app="EN" db-id="50x5az008zxe02errx2pfpwzxepav59dtadr" timestamp="1624786982"&gt;2&lt;/key&gt;&lt;/foreign-keys&gt;&lt;ref-type name="Book"&gt;6&lt;/ref-type&gt;&lt;contributors&gt;&lt;authors&gt;&lt;author&gt;Gardner, John&lt;/author&gt;&lt;/authors&gt;&lt;/contributors&gt;&lt;titles&gt;&lt;title&gt;From Personal Life to Private Law&lt;/title&gt;&lt;/titles&gt;&lt;dates&gt;&lt;year&gt;2018&lt;/year&gt;&lt;/dates&gt;&lt;pub-location&gt;Oxford&lt;/pub-location&gt;&lt;publisher&gt;Oxford University Press&lt;/publisher&gt;&lt;urls&gt;&lt;/urls&gt;&lt;/record&gt;&lt;/Cite&gt;&lt;/EndNote&gt;</w:instrText>
      </w:r>
      <w:r w:rsidR="00A5591E">
        <w:rPr>
          <w:rFonts w:ascii="Cambria" w:hAnsi="Cambria" w:cstheme="minorHAnsi"/>
          <w:lang w:val="en-US"/>
        </w:rPr>
        <w:fldChar w:fldCharType="separate"/>
      </w:r>
      <w:r w:rsidR="00A5591E">
        <w:rPr>
          <w:rFonts w:ascii="Cambria" w:hAnsi="Cambria" w:cstheme="minorHAnsi"/>
          <w:noProof/>
          <w:lang w:val="en-US"/>
        </w:rPr>
        <w:t>(Gardner 2018)</w:t>
      </w:r>
      <w:r w:rsidR="00A5591E">
        <w:rPr>
          <w:rFonts w:ascii="Cambria" w:hAnsi="Cambria" w:cstheme="minorHAnsi"/>
          <w:lang w:val="en-US"/>
        </w:rPr>
        <w:fldChar w:fldCharType="end"/>
      </w:r>
      <w:r w:rsidR="00E6719F">
        <w:rPr>
          <w:rFonts w:ascii="Cambria" w:hAnsi="Cambria" w:cstheme="minorHAnsi"/>
          <w:lang w:val="en-US"/>
        </w:rPr>
        <w:t xml:space="preserve"> </w:t>
      </w:r>
      <w:r w:rsidR="00342EBB">
        <w:rPr>
          <w:rFonts w:ascii="Cambria" w:hAnsi="Cambria" w:cstheme="minorHAnsi"/>
          <w:lang w:val="en-US"/>
        </w:rPr>
        <w:fldChar w:fldCharType="begin"/>
      </w:r>
      <w:r w:rsidR="00342EBB">
        <w:rPr>
          <w:rFonts w:ascii="Cambria" w:hAnsi="Cambria" w:cstheme="minorHAnsi"/>
          <w:lang w:val="en-US"/>
        </w:rPr>
        <w:instrText xml:space="preserve"> ADDIN EN.CITE &lt;EndNote&gt;&lt;Cite&gt;&lt;Author&gt;Rawls&lt;/Author&gt;&lt;Year&gt;2001&lt;/Year&gt;&lt;RecNum&gt;5&lt;/RecNum&gt;&lt;DisplayText&gt;(Rawls 2001)&lt;/DisplayText&gt;&lt;record&gt;&lt;rec-number&gt;5&lt;/rec-number&gt;&lt;foreign-keys&gt;&lt;key app="EN" db-id="50x5az008zxe02errx2pfpwzxepav59dtadr" timestamp="1624932136"&gt;5&lt;/key&gt;&lt;/foreign-keys&gt;&lt;ref-type name="Book"&gt;6&lt;/ref-type&gt;&lt;contributors&gt;&lt;authors&gt;&lt;author&gt;Rawls, John&lt;/author&gt;&lt;/authors&gt;&lt;/contributors&gt;&lt;titles&gt;&lt;title&gt;Justice as Fairness: A Restatement&lt;/title&gt;&lt;/titles&gt;&lt;dates&gt;&lt;year&gt;2001&lt;/year&gt;&lt;/dates&gt;&lt;pub-location&gt;Cambridge MA&lt;/pub-location&gt;&lt;publisher&gt;Harvard University Press&lt;/publisher&gt;&lt;urls&gt;&lt;/urls&gt;&lt;/record&gt;&lt;/Cite&gt;&lt;/EndNote&gt;</w:instrText>
      </w:r>
      <w:r w:rsidR="00342EBB">
        <w:rPr>
          <w:rFonts w:ascii="Cambria" w:hAnsi="Cambria" w:cstheme="minorHAnsi"/>
          <w:lang w:val="en-US"/>
        </w:rPr>
        <w:fldChar w:fldCharType="separate"/>
      </w:r>
      <w:r w:rsidR="00342EBB">
        <w:rPr>
          <w:rFonts w:ascii="Cambria" w:hAnsi="Cambria" w:cstheme="minorHAnsi"/>
          <w:noProof/>
          <w:lang w:val="en-US"/>
        </w:rPr>
        <w:t>(Rawls 2001)</w:t>
      </w:r>
      <w:r w:rsidR="00342EBB">
        <w:rPr>
          <w:rFonts w:ascii="Cambria" w:hAnsi="Cambria" w:cstheme="minorHAnsi"/>
          <w:lang w:val="en-US"/>
        </w:rPr>
        <w:fldChar w:fldCharType="end"/>
      </w:r>
      <w:r w:rsidR="00CE7263">
        <w:rPr>
          <w:rFonts w:ascii="Cambria" w:hAnsi="Cambria" w:cstheme="minorHAnsi"/>
          <w:lang w:val="en-US"/>
        </w:rPr>
        <w:t xml:space="preserve"> </w:t>
      </w:r>
      <w:r w:rsidR="00CE7263">
        <w:rPr>
          <w:rFonts w:ascii="Cambria" w:hAnsi="Cambria" w:cstheme="minorHAnsi"/>
          <w:lang w:val="en-US"/>
        </w:rPr>
        <w:fldChar w:fldCharType="begin"/>
      </w:r>
      <w:r w:rsidR="00C1265A">
        <w:rPr>
          <w:rFonts w:ascii="Cambria" w:hAnsi="Cambria" w:cstheme="minorHAnsi"/>
          <w:lang w:val="en-US"/>
        </w:rPr>
        <w:instrText xml:space="preserve"> ADDIN EN.CITE &lt;EndNote&gt;&lt;Cite&gt;&lt;Author&gt;Smith&lt;/Author&gt;&lt;Year&gt;2017&lt;/Year&gt;&lt;RecNum&gt;7&lt;/RecNum&gt;&lt;DisplayText&gt;(Smith 2017, Penner forthcoming 2021)&lt;/DisplayText&gt;&lt;record&gt;&lt;rec-number&gt;7&lt;/rec-number&gt;&lt;foreign-keys&gt;&lt;key app="EN" db-id="50x5az008zxe02errx2pfpwzxepav59dtadr" timestamp="1624950208"&gt;7&lt;/key&gt;&lt;/foreign-keys&gt;&lt;ref-type name="Journal Article"&gt;17&lt;/ref-type&gt;&lt;contributors&gt;&lt;authors&gt;&lt;author&gt;Smith, Lionel&lt;/author&gt;&lt;/authors&gt;&lt;/contributors&gt;&lt;titles&gt;&lt;title&gt;Massively Discretionary Trusts&lt;/title&gt;&lt;secondary-title&gt;Current Legal Problems&lt;/secondary-title&gt;&lt;/titles&gt;&lt;periodical&gt;&lt;full-title&gt;Current Legal Problems&lt;/full-title&gt;&lt;/periodical&gt;&lt;pages&gt;17-54&lt;/pages&gt;&lt;volume&gt;70&lt;/volume&gt;&lt;section&gt;17&lt;/section&gt;&lt;dates&gt;&lt;year&gt;2017&lt;/year&gt;&lt;/dates&gt;&lt;urls&gt;&lt;/urls&gt;&lt;/record&gt;&lt;/Cite&gt;&lt;Cite&gt;&lt;Author&gt;Penner&lt;/Author&gt;&lt;Year&gt;forthcoming 2021&lt;/Year&gt;&lt;RecNum&gt;6&lt;/RecNum&gt;&lt;record&gt;&lt;rec-number&gt;6&lt;/rec-number&gt;&lt;foreign-keys&gt;&lt;key app="EN" db-id="50x5az008zxe02errx2pfpwzxepav59dtadr" timestamp="1624950061"&gt;6&lt;/key&gt;&lt;/foreign-keys&gt;&lt;ref-type name="Journal Article"&gt;17&lt;/ref-type&gt;&lt;contributors&gt;&lt;authors&gt;&lt;author&gt;Penner, James&lt;/author&gt;&lt;/authors&gt;&lt;/contributors&gt;&lt;titles&gt;&lt;title&gt;Justifying the Office of Trusteeship With Particular Reference to Massively Discretionary Trusts&lt;/title&gt;&lt;secondary-title&gt;Canadian Journal of Law and Jurisprudence&lt;/secondary-title&gt;&lt;/titles&gt;&lt;periodical&gt;&lt;full-title&gt;Canadian Journal of Law and Jurisprudence&lt;/full-title&gt;&lt;/periodical&gt;&lt;dates&gt;&lt;year&gt;forthcoming 2021&lt;/year&gt;&lt;/dates&gt;&lt;urls&gt;&lt;/urls&gt;&lt;/record&gt;&lt;/Cite&gt;&lt;/EndNote&gt;</w:instrText>
      </w:r>
      <w:r w:rsidR="00CE7263">
        <w:rPr>
          <w:rFonts w:ascii="Cambria" w:hAnsi="Cambria" w:cstheme="minorHAnsi"/>
          <w:lang w:val="en-US"/>
        </w:rPr>
        <w:fldChar w:fldCharType="separate"/>
      </w:r>
      <w:r w:rsidR="00C1265A">
        <w:rPr>
          <w:rFonts w:ascii="Cambria" w:hAnsi="Cambria" w:cstheme="minorHAnsi"/>
          <w:noProof/>
          <w:lang w:val="en-US"/>
        </w:rPr>
        <w:t>(Smith 2017, Penner forthcoming 2021)</w:t>
      </w:r>
      <w:r w:rsidR="00CE7263">
        <w:rPr>
          <w:rFonts w:ascii="Cambria" w:hAnsi="Cambria" w:cstheme="minorHAnsi"/>
          <w:lang w:val="en-US"/>
        </w:rPr>
        <w:fldChar w:fldCharType="end"/>
      </w:r>
      <w:r w:rsidR="00477FDF">
        <w:rPr>
          <w:rFonts w:ascii="Cambria" w:hAnsi="Cambria" w:cstheme="minorHAnsi"/>
          <w:lang w:val="en-US"/>
        </w:rPr>
        <w:t xml:space="preserve"> </w:t>
      </w:r>
      <w:r w:rsidR="00477FDF">
        <w:rPr>
          <w:rFonts w:ascii="Cambria" w:hAnsi="Cambria" w:cstheme="minorHAnsi"/>
          <w:lang w:val="en-US"/>
        </w:rPr>
        <w:fldChar w:fldCharType="begin"/>
      </w:r>
      <w:r w:rsidR="00477FDF">
        <w:rPr>
          <w:rFonts w:ascii="Cambria" w:hAnsi="Cambria" w:cstheme="minorHAnsi"/>
          <w:lang w:val="en-US"/>
        </w:rPr>
        <w:instrText xml:space="preserve"> ADDIN EN.CITE &lt;EndNote&gt;&lt;Cite&gt;&lt;Author&gt;Dagan&lt;/Author&gt;&lt;Year&gt;2021&lt;/Year&gt;&lt;RecNum&gt;8&lt;/RecNum&gt;&lt;DisplayText&gt;(Dagan 2021)&lt;/DisplayText&gt;&lt;record&gt;&lt;rec-number&gt;8&lt;/rec-number&gt;&lt;foreign-keys&gt;&lt;key app="EN" db-id="50x5az008zxe02errx2pfpwzxepav59dtadr" timestamp="1625018326"&gt;8&lt;/key&gt;&lt;/foreign-keys&gt;&lt;ref-type name="Book"&gt;6&lt;/ref-type&gt;&lt;contributors&gt;&lt;authors&gt;&lt;author&gt;Dagan, Hanoch&lt;/author&gt;&lt;/authors&gt;&lt;/contributors&gt;&lt;titles&gt;&lt;title&gt;A Liberal Theory of Property&lt;/title&gt;&lt;/titles&gt;&lt;dates&gt;&lt;year&gt;2021&lt;/year&gt;&lt;/dates&gt;&lt;pub-location&gt;Cambridge&lt;/pub-location&gt;&lt;publisher&gt;Cambridge University Press&lt;/publisher&gt;&lt;urls&gt;&lt;/urls&gt;&lt;/record&gt;&lt;/Cite&gt;&lt;/EndNote&gt;</w:instrText>
      </w:r>
      <w:r w:rsidR="00477FDF">
        <w:rPr>
          <w:rFonts w:ascii="Cambria" w:hAnsi="Cambria" w:cstheme="minorHAnsi"/>
          <w:lang w:val="en-US"/>
        </w:rPr>
        <w:fldChar w:fldCharType="separate"/>
      </w:r>
      <w:r w:rsidR="00477FDF">
        <w:rPr>
          <w:rFonts w:ascii="Cambria" w:hAnsi="Cambria" w:cstheme="minorHAnsi"/>
          <w:noProof/>
          <w:lang w:val="en-US"/>
        </w:rPr>
        <w:t>(Dagan 2021)</w:t>
      </w:r>
      <w:r w:rsidR="00477FDF">
        <w:rPr>
          <w:rFonts w:ascii="Cambria" w:hAnsi="Cambria" w:cstheme="minorHAnsi"/>
          <w:lang w:val="en-US"/>
        </w:rPr>
        <w:fldChar w:fldCharType="end"/>
      </w:r>
      <w:r w:rsidR="00F77D2F">
        <w:rPr>
          <w:rFonts w:ascii="Cambria" w:hAnsi="Cambria" w:cstheme="minorHAnsi"/>
          <w:lang w:val="en-US"/>
        </w:rPr>
        <w:t xml:space="preserve"> </w:t>
      </w:r>
      <w:r w:rsidR="00C434C5">
        <w:rPr>
          <w:rFonts w:ascii="Cambria" w:hAnsi="Cambria" w:cstheme="minorHAnsi"/>
          <w:lang w:val="en-US"/>
        </w:rPr>
        <w:fldChar w:fldCharType="begin"/>
      </w:r>
      <w:r w:rsidR="00C434C5">
        <w:rPr>
          <w:rFonts w:ascii="Cambria" w:hAnsi="Cambria" w:cstheme="minorHAnsi"/>
          <w:lang w:val="en-US"/>
        </w:rPr>
        <w:instrText xml:space="preserve"> ADDIN EN.CITE &lt;EndNote&gt;&lt;Cite&gt;&lt;Author&gt;Dagan&lt;/Author&gt;&lt;Year&gt;Forthcoming&lt;/Year&gt;&lt;RecNum&gt;9&lt;/RecNum&gt;&lt;DisplayText&gt;(Dagan Forthcoming)&lt;/DisplayText&gt;&lt;record&gt;&lt;rec-number&gt;9&lt;/rec-number&gt;&lt;foreign-keys&gt;&lt;key app="EN" db-id="50x5az008zxe02errx2pfpwzxepav59dtadr" timestamp="1625018758"&gt;9&lt;/key&gt;&lt;/foreign-keys&gt;&lt;ref-type name="Book Section"&gt;5&lt;/ref-type&gt;&lt;contributors&gt;&lt;authors&gt;&lt;author&gt;Dagan, Hanoch&lt;/author&gt;&lt;/authors&gt;&lt;secondary-authors&gt;&lt;author&gt;Psarras, Haris&lt;/author&gt;&lt;author&gt;Steel, Sandy&lt;/author&gt;&lt;/secondary-authors&gt;&lt;/contributors&gt;&lt;titles&gt;&lt;title&gt;The Liberal Promise of Contract&lt;/title&gt;&lt;secondary-title&gt;Private Law and Practical Reason: Essays on John Gardner’s Private Law Theory&lt;/secondary-title&gt;&lt;/titles&gt;&lt;dates&gt;&lt;year&gt;Forthcoming&lt;/year&gt;&lt;/dates&gt;&lt;urls&gt;&lt;/urls&gt;&lt;/record&gt;&lt;/Cite&gt;&lt;/EndNote&gt;</w:instrText>
      </w:r>
      <w:r w:rsidR="00C434C5">
        <w:rPr>
          <w:rFonts w:ascii="Cambria" w:hAnsi="Cambria" w:cstheme="minorHAnsi"/>
          <w:lang w:val="en-US"/>
        </w:rPr>
        <w:fldChar w:fldCharType="separate"/>
      </w:r>
      <w:r w:rsidR="00C434C5">
        <w:rPr>
          <w:rFonts w:ascii="Cambria" w:hAnsi="Cambria" w:cstheme="minorHAnsi"/>
          <w:noProof/>
          <w:lang w:val="en-US"/>
        </w:rPr>
        <w:t>(Dagan Forthcoming)</w:t>
      </w:r>
      <w:r w:rsidR="00C434C5">
        <w:rPr>
          <w:rFonts w:ascii="Cambria" w:hAnsi="Cambria" w:cstheme="minorHAnsi"/>
          <w:lang w:val="en-US"/>
        </w:rPr>
        <w:fldChar w:fldCharType="end"/>
      </w:r>
    </w:p>
    <w:p w14:paraId="71514B2F" w14:textId="77777777" w:rsidR="00646297" w:rsidRPr="008F68D6" w:rsidRDefault="00646297" w:rsidP="008F68D6">
      <w:pPr>
        <w:jc w:val="both"/>
        <w:rPr>
          <w:rFonts w:ascii="Cambria" w:hAnsi="Cambria" w:cstheme="minorHAnsi"/>
          <w:lang w:val="en-US"/>
        </w:rPr>
      </w:pPr>
    </w:p>
    <w:p w14:paraId="332C0459" w14:textId="77777777" w:rsidR="00C434C5" w:rsidRPr="00C434C5" w:rsidRDefault="00646297" w:rsidP="00C434C5">
      <w:pPr>
        <w:pStyle w:val="EndNoteBibliography"/>
        <w:rPr>
          <w:noProof/>
        </w:rPr>
      </w:pPr>
      <w:r w:rsidRPr="008F68D6">
        <w:rPr>
          <w:rFonts w:ascii="Cambria" w:hAnsi="Cambria" w:cstheme="minorHAnsi"/>
        </w:rPr>
        <w:fldChar w:fldCharType="begin"/>
      </w:r>
      <w:r w:rsidRPr="008F68D6">
        <w:rPr>
          <w:rFonts w:ascii="Cambria" w:hAnsi="Cambria" w:cstheme="minorHAnsi"/>
        </w:rPr>
        <w:instrText xml:space="preserve"> ADDIN EN.REFLIST </w:instrText>
      </w:r>
      <w:r w:rsidRPr="008F68D6">
        <w:rPr>
          <w:rFonts w:ascii="Cambria" w:hAnsi="Cambria" w:cstheme="minorHAnsi"/>
        </w:rPr>
        <w:fldChar w:fldCharType="separate"/>
      </w:r>
      <w:r w:rsidR="00C434C5" w:rsidRPr="00C434C5">
        <w:rPr>
          <w:noProof/>
        </w:rPr>
        <w:t xml:space="preserve">Baker, J. H. (2001). </w:t>
      </w:r>
      <w:r w:rsidR="00C434C5" w:rsidRPr="00C434C5">
        <w:rPr>
          <w:noProof/>
          <w:u w:val="single"/>
        </w:rPr>
        <w:t>The Law’s Two Bodies</w:t>
      </w:r>
      <w:r w:rsidR="00C434C5" w:rsidRPr="00C434C5">
        <w:rPr>
          <w:noProof/>
        </w:rPr>
        <w:t>. Oxford, Oxford University Press.</w:t>
      </w:r>
    </w:p>
    <w:p w14:paraId="7D70F237" w14:textId="77777777" w:rsidR="00C434C5" w:rsidRPr="00C434C5" w:rsidRDefault="00C434C5" w:rsidP="00C434C5">
      <w:pPr>
        <w:pStyle w:val="EndNoteBibliography"/>
        <w:rPr>
          <w:noProof/>
        </w:rPr>
      </w:pPr>
      <w:r w:rsidRPr="00C434C5">
        <w:rPr>
          <w:noProof/>
        </w:rPr>
        <w:t xml:space="preserve">Dagan, H. (2021). </w:t>
      </w:r>
      <w:r w:rsidRPr="00C434C5">
        <w:rPr>
          <w:noProof/>
          <w:u w:val="single"/>
        </w:rPr>
        <w:t>A Liberal Theory of Property</w:t>
      </w:r>
      <w:r w:rsidRPr="00C434C5">
        <w:rPr>
          <w:noProof/>
        </w:rPr>
        <w:t>. Cambridge, Cambridge University Press.</w:t>
      </w:r>
    </w:p>
    <w:p w14:paraId="526706C4" w14:textId="77777777" w:rsidR="00C434C5" w:rsidRPr="00C434C5" w:rsidRDefault="00C434C5" w:rsidP="00C434C5">
      <w:pPr>
        <w:pStyle w:val="EndNoteBibliography"/>
        <w:rPr>
          <w:noProof/>
        </w:rPr>
      </w:pPr>
      <w:r w:rsidRPr="00C434C5">
        <w:rPr>
          <w:noProof/>
        </w:rPr>
        <w:t xml:space="preserve">Dagan, H. (Forthcoming). The Liberal Promise of Contract. </w:t>
      </w:r>
      <w:r w:rsidRPr="00C434C5">
        <w:rPr>
          <w:noProof/>
          <w:u w:val="single"/>
        </w:rPr>
        <w:t>Private Law and Practical Reason: Essays on John Gardner’s Private Law Theory</w:t>
      </w:r>
      <w:r w:rsidRPr="00C434C5">
        <w:rPr>
          <w:noProof/>
        </w:rPr>
        <w:t>. H. Psarras and S. Steel.</w:t>
      </w:r>
    </w:p>
    <w:p w14:paraId="7A358247" w14:textId="77777777" w:rsidR="00C434C5" w:rsidRPr="00C434C5" w:rsidRDefault="00C434C5" w:rsidP="00C434C5">
      <w:pPr>
        <w:pStyle w:val="EndNoteBibliography"/>
        <w:rPr>
          <w:noProof/>
        </w:rPr>
      </w:pPr>
      <w:r w:rsidRPr="00C434C5">
        <w:rPr>
          <w:noProof/>
        </w:rPr>
        <w:t xml:space="preserve">Dagan, H. and M. Heller (2017). </w:t>
      </w:r>
      <w:r w:rsidRPr="00C434C5">
        <w:rPr>
          <w:noProof/>
          <w:u w:val="single"/>
        </w:rPr>
        <w:t>The Choice Theory of Contracts</w:t>
      </w:r>
      <w:r w:rsidRPr="00C434C5">
        <w:rPr>
          <w:noProof/>
        </w:rPr>
        <w:t>. Cambridge, Cambridge University Press.</w:t>
      </w:r>
    </w:p>
    <w:p w14:paraId="134B61DD" w14:textId="77777777" w:rsidR="00C434C5" w:rsidRPr="00C434C5" w:rsidRDefault="00C434C5" w:rsidP="00C434C5">
      <w:pPr>
        <w:pStyle w:val="EndNoteBibliography"/>
        <w:rPr>
          <w:noProof/>
        </w:rPr>
      </w:pPr>
      <w:r w:rsidRPr="00C434C5">
        <w:rPr>
          <w:noProof/>
        </w:rPr>
        <w:t xml:space="preserve">Dagan, H. and M. Heller (2021). "Autonomy for Contract, Refined." </w:t>
      </w:r>
      <w:r w:rsidRPr="00C434C5">
        <w:rPr>
          <w:noProof/>
          <w:u w:val="single"/>
        </w:rPr>
        <w:t>Law and Philosophy</w:t>
      </w:r>
      <w:r w:rsidRPr="00C434C5">
        <w:rPr>
          <w:noProof/>
        </w:rPr>
        <w:t>.</w:t>
      </w:r>
    </w:p>
    <w:p w14:paraId="74D4B2AC" w14:textId="77777777" w:rsidR="00C434C5" w:rsidRPr="00C434C5" w:rsidRDefault="00C434C5" w:rsidP="00C434C5">
      <w:pPr>
        <w:pStyle w:val="EndNoteBibliography"/>
        <w:rPr>
          <w:noProof/>
        </w:rPr>
      </w:pPr>
      <w:r w:rsidRPr="00C434C5">
        <w:rPr>
          <w:noProof/>
        </w:rPr>
        <w:t xml:space="preserve">Gardner, J. (2014). What is Tort Law For? Part 2. The Place of Distributive Justice. </w:t>
      </w:r>
      <w:r w:rsidRPr="00C434C5">
        <w:rPr>
          <w:noProof/>
          <w:u w:val="single"/>
        </w:rPr>
        <w:t>Philosophical Foundations of the Law of Torts</w:t>
      </w:r>
      <w:r w:rsidRPr="00C434C5">
        <w:rPr>
          <w:noProof/>
        </w:rPr>
        <w:t>. J. Oberdiek. Oxford, Oxford University Press</w:t>
      </w:r>
      <w:r w:rsidRPr="00C434C5">
        <w:rPr>
          <w:b/>
          <w:noProof/>
        </w:rPr>
        <w:t xml:space="preserve">: </w:t>
      </w:r>
      <w:r w:rsidRPr="00C434C5">
        <w:rPr>
          <w:noProof/>
        </w:rPr>
        <w:t>335-353.</w:t>
      </w:r>
    </w:p>
    <w:p w14:paraId="0D40D562" w14:textId="77777777" w:rsidR="00C434C5" w:rsidRPr="00C434C5" w:rsidRDefault="00C434C5" w:rsidP="00C434C5">
      <w:pPr>
        <w:pStyle w:val="EndNoteBibliography"/>
        <w:rPr>
          <w:noProof/>
        </w:rPr>
      </w:pPr>
      <w:r w:rsidRPr="00C434C5">
        <w:rPr>
          <w:noProof/>
        </w:rPr>
        <w:t xml:space="preserve">Gardner, J. (2018). </w:t>
      </w:r>
      <w:r w:rsidRPr="00C434C5">
        <w:rPr>
          <w:noProof/>
          <w:u w:val="single"/>
        </w:rPr>
        <w:t>From Personal Life to Private Law</w:t>
      </w:r>
      <w:r w:rsidRPr="00C434C5">
        <w:rPr>
          <w:noProof/>
        </w:rPr>
        <w:t>. Oxford, Oxford University Press.</w:t>
      </w:r>
    </w:p>
    <w:p w14:paraId="35D439D1" w14:textId="77777777" w:rsidR="00C434C5" w:rsidRPr="00C434C5" w:rsidRDefault="00C434C5" w:rsidP="00C434C5">
      <w:pPr>
        <w:pStyle w:val="EndNoteBibliography"/>
        <w:rPr>
          <w:noProof/>
        </w:rPr>
      </w:pPr>
      <w:r w:rsidRPr="00C434C5">
        <w:rPr>
          <w:noProof/>
        </w:rPr>
        <w:t xml:space="preserve">Green, L. (2018). Escapable Law: Gardner on Law and Morality. </w:t>
      </w:r>
      <w:r w:rsidRPr="00C434C5">
        <w:rPr>
          <w:noProof/>
          <w:u w:val="single"/>
        </w:rPr>
        <w:t>Oxford Legal Research Paper Series 1 Paper No 18</w:t>
      </w:r>
      <w:r w:rsidRPr="00C434C5">
        <w:rPr>
          <w:b/>
          <w:noProof/>
        </w:rPr>
        <w:t xml:space="preserve">: </w:t>
      </w:r>
      <w:r w:rsidRPr="00C434C5">
        <w:rPr>
          <w:noProof/>
        </w:rPr>
        <w:t>1-24.</w:t>
      </w:r>
    </w:p>
    <w:p w14:paraId="7486C8C2" w14:textId="77777777" w:rsidR="00C434C5" w:rsidRPr="00C434C5" w:rsidRDefault="00C434C5" w:rsidP="00C434C5">
      <w:pPr>
        <w:pStyle w:val="EndNoteBibliography"/>
        <w:rPr>
          <w:noProof/>
        </w:rPr>
      </w:pPr>
      <w:r w:rsidRPr="00C434C5">
        <w:rPr>
          <w:noProof/>
        </w:rPr>
        <w:t xml:space="preserve">Penner, J. (2020). Justifying Private Law: ‘Reasons Fundamentalist’ Instrumentalism and the Kantian Account. </w:t>
      </w:r>
      <w:r w:rsidRPr="00C434C5">
        <w:rPr>
          <w:noProof/>
          <w:u w:val="single"/>
        </w:rPr>
        <w:t>Justifying Private Rights</w:t>
      </w:r>
      <w:r w:rsidRPr="00C434C5">
        <w:rPr>
          <w:noProof/>
        </w:rPr>
        <w:t>. S. Degeling, M. J. Crawford and N. A. Tiverios. Oxford, Hart</w:t>
      </w:r>
      <w:r w:rsidRPr="00C434C5">
        <w:rPr>
          <w:b/>
          <w:noProof/>
        </w:rPr>
        <w:t xml:space="preserve">: </w:t>
      </w:r>
      <w:r w:rsidRPr="00C434C5">
        <w:rPr>
          <w:noProof/>
        </w:rPr>
        <w:t>45-62.</w:t>
      </w:r>
    </w:p>
    <w:p w14:paraId="00CDD046" w14:textId="77777777" w:rsidR="00C434C5" w:rsidRPr="00C434C5" w:rsidRDefault="00C434C5" w:rsidP="00C434C5">
      <w:pPr>
        <w:pStyle w:val="EndNoteBibliography"/>
        <w:rPr>
          <w:noProof/>
        </w:rPr>
      </w:pPr>
      <w:r w:rsidRPr="00C434C5">
        <w:rPr>
          <w:noProof/>
        </w:rPr>
        <w:t xml:space="preserve">Penner, J. (2021). Justifying Private Law: “Reasons Fundamentalist” Instrumentalism and the Kantian Account. </w:t>
      </w:r>
      <w:r w:rsidRPr="00C434C5">
        <w:rPr>
          <w:noProof/>
          <w:u w:val="single"/>
        </w:rPr>
        <w:t>Justifying Private Rights</w:t>
      </w:r>
      <w:r w:rsidRPr="00C434C5">
        <w:rPr>
          <w:noProof/>
        </w:rPr>
        <w:t>. S. Degeling, M. Crawford and N. Tiverios. Oxford, Hart</w:t>
      </w:r>
      <w:r w:rsidRPr="00C434C5">
        <w:rPr>
          <w:b/>
          <w:noProof/>
        </w:rPr>
        <w:t xml:space="preserve">: </w:t>
      </w:r>
      <w:r w:rsidRPr="00C434C5">
        <w:rPr>
          <w:noProof/>
        </w:rPr>
        <w:t>45-62.</w:t>
      </w:r>
    </w:p>
    <w:p w14:paraId="280114AA" w14:textId="77777777" w:rsidR="00C434C5" w:rsidRPr="00C434C5" w:rsidRDefault="00C434C5" w:rsidP="00C434C5">
      <w:pPr>
        <w:pStyle w:val="EndNoteBibliography"/>
        <w:rPr>
          <w:noProof/>
        </w:rPr>
      </w:pPr>
      <w:r w:rsidRPr="00C434C5">
        <w:rPr>
          <w:noProof/>
        </w:rPr>
        <w:t xml:space="preserve">Penner, J. (forthcoming 2021). "Justifying the Office of Trusteeship With Particular Reference to Massively Discretionary Trusts." </w:t>
      </w:r>
      <w:r w:rsidRPr="00C434C5">
        <w:rPr>
          <w:noProof/>
          <w:u w:val="single"/>
        </w:rPr>
        <w:t>Canadian Journal of Law and Jurisprudence</w:t>
      </w:r>
      <w:r w:rsidRPr="00C434C5">
        <w:rPr>
          <w:noProof/>
        </w:rPr>
        <w:t>.</w:t>
      </w:r>
    </w:p>
    <w:p w14:paraId="3FDE40F5" w14:textId="77777777" w:rsidR="00C434C5" w:rsidRPr="00C434C5" w:rsidRDefault="00C434C5" w:rsidP="00C434C5">
      <w:pPr>
        <w:pStyle w:val="EndNoteBibliography"/>
        <w:rPr>
          <w:noProof/>
        </w:rPr>
      </w:pPr>
      <w:r w:rsidRPr="00C434C5">
        <w:rPr>
          <w:noProof/>
        </w:rPr>
        <w:t xml:space="preserve">Penner, J. E. (2011). "Potentiality, Actuality, and "Stick"-Theory." </w:t>
      </w:r>
      <w:r w:rsidRPr="00C434C5">
        <w:rPr>
          <w:noProof/>
          <w:u w:val="single"/>
        </w:rPr>
        <w:t>Econ Journal Watch</w:t>
      </w:r>
      <w:r w:rsidRPr="00C434C5">
        <w:rPr>
          <w:noProof/>
        </w:rPr>
        <w:t xml:space="preserve"> </w:t>
      </w:r>
      <w:r w:rsidRPr="00C434C5">
        <w:rPr>
          <w:b/>
          <w:noProof/>
        </w:rPr>
        <w:t>8</w:t>
      </w:r>
      <w:r w:rsidRPr="00C434C5">
        <w:rPr>
          <w:noProof/>
        </w:rPr>
        <w:t>: 274-278.</w:t>
      </w:r>
    </w:p>
    <w:p w14:paraId="4BFF9942" w14:textId="77777777" w:rsidR="00C434C5" w:rsidRPr="00C434C5" w:rsidRDefault="00C434C5" w:rsidP="00C434C5">
      <w:pPr>
        <w:pStyle w:val="EndNoteBibliography"/>
        <w:rPr>
          <w:noProof/>
        </w:rPr>
      </w:pPr>
      <w:r w:rsidRPr="00C434C5">
        <w:rPr>
          <w:noProof/>
        </w:rPr>
        <w:t xml:space="preserve">Penner, J. E. (2018). Private Law, </w:t>
      </w:r>
      <w:r w:rsidRPr="00C434C5">
        <w:rPr>
          <w:i/>
          <w:noProof/>
        </w:rPr>
        <w:t>Potentia</w:t>
      </w:r>
      <w:r w:rsidRPr="00C434C5">
        <w:rPr>
          <w:noProof/>
        </w:rPr>
        <w:t xml:space="preserve"> and the Ethical: On What Justification Does the State Coercively Tax its Subjects in Order to Build Bridges, Fund the BBC, and Subsidise Charities? </w:t>
      </w:r>
      <w:r w:rsidRPr="00C434C5">
        <w:rPr>
          <w:noProof/>
          <w:u w:val="single"/>
        </w:rPr>
        <w:t>Questioning the Foundations of Public Law</w:t>
      </w:r>
      <w:r w:rsidRPr="00C434C5">
        <w:rPr>
          <w:noProof/>
        </w:rPr>
        <w:t>. M. Dowdle and M. Wilikinson. Oxford, Hart</w:t>
      </w:r>
      <w:r w:rsidRPr="00C434C5">
        <w:rPr>
          <w:b/>
          <w:noProof/>
        </w:rPr>
        <w:t xml:space="preserve">: </w:t>
      </w:r>
      <w:r w:rsidRPr="00C434C5">
        <w:rPr>
          <w:noProof/>
        </w:rPr>
        <w:t>99-113.</w:t>
      </w:r>
    </w:p>
    <w:p w14:paraId="356558EC" w14:textId="77777777" w:rsidR="00C434C5" w:rsidRPr="00C434C5" w:rsidRDefault="00C434C5" w:rsidP="00C434C5">
      <w:pPr>
        <w:pStyle w:val="EndNoteBibliography"/>
        <w:rPr>
          <w:noProof/>
        </w:rPr>
      </w:pPr>
      <w:r w:rsidRPr="00C434C5">
        <w:rPr>
          <w:noProof/>
        </w:rPr>
        <w:t xml:space="preserve">Penner, J. E. (2020). Don’t Crash into Mick Jagger when He is Driving his Rolls Royce: Liability in Damages for Economic Loss Consequent upon a Personal Injury. </w:t>
      </w:r>
      <w:r w:rsidRPr="00C434C5">
        <w:rPr>
          <w:noProof/>
          <w:u w:val="single"/>
        </w:rPr>
        <w:t>Civil Wrongs and Justice in Private Law</w:t>
      </w:r>
      <w:r w:rsidRPr="00C434C5">
        <w:rPr>
          <w:noProof/>
        </w:rPr>
        <w:t>. P. B. Miller and J. Oberdiek. Oxford, Oxford University Press</w:t>
      </w:r>
      <w:r w:rsidRPr="00C434C5">
        <w:rPr>
          <w:b/>
          <w:noProof/>
        </w:rPr>
        <w:t xml:space="preserve">: </w:t>
      </w:r>
      <w:r w:rsidRPr="00C434C5">
        <w:rPr>
          <w:noProof/>
        </w:rPr>
        <w:t>253-271.</w:t>
      </w:r>
    </w:p>
    <w:p w14:paraId="074FEF20" w14:textId="77777777" w:rsidR="00C434C5" w:rsidRPr="00C434C5" w:rsidRDefault="00C434C5" w:rsidP="00C434C5">
      <w:pPr>
        <w:pStyle w:val="EndNoteBibliography"/>
        <w:rPr>
          <w:noProof/>
        </w:rPr>
      </w:pPr>
      <w:r w:rsidRPr="00C434C5">
        <w:rPr>
          <w:noProof/>
        </w:rPr>
        <w:t xml:space="preserve">Penner, J. E. (2020). </w:t>
      </w:r>
      <w:r w:rsidRPr="00C434C5">
        <w:rPr>
          <w:noProof/>
          <w:u w:val="single"/>
        </w:rPr>
        <w:t>Property Rights: A Re-Examination</w:t>
      </w:r>
      <w:r w:rsidRPr="00C434C5">
        <w:rPr>
          <w:noProof/>
        </w:rPr>
        <w:t>. Oxford, Oxford University Press.</w:t>
      </w:r>
    </w:p>
    <w:p w14:paraId="641C4DB6" w14:textId="77777777" w:rsidR="00C434C5" w:rsidRPr="00C434C5" w:rsidRDefault="00C434C5" w:rsidP="00C434C5">
      <w:pPr>
        <w:pStyle w:val="EndNoteBibliography"/>
        <w:rPr>
          <w:noProof/>
        </w:rPr>
      </w:pPr>
      <w:r w:rsidRPr="00C434C5">
        <w:rPr>
          <w:noProof/>
        </w:rPr>
        <w:t xml:space="preserve">Rawls, J. (2001). </w:t>
      </w:r>
      <w:r w:rsidRPr="00C434C5">
        <w:rPr>
          <w:noProof/>
          <w:u w:val="single"/>
        </w:rPr>
        <w:t>Justice as Fairness: A Restatement</w:t>
      </w:r>
      <w:r w:rsidRPr="00C434C5">
        <w:rPr>
          <w:noProof/>
        </w:rPr>
        <w:t>. Cambridge MA, Harvard University Press.</w:t>
      </w:r>
    </w:p>
    <w:p w14:paraId="608FB3BE" w14:textId="77777777" w:rsidR="00C434C5" w:rsidRPr="00C434C5" w:rsidRDefault="00C434C5" w:rsidP="00C434C5">
      <w:pPr>
        <w:pStyle w:val="EndNoteBibliography"/>
        <w:rPr>
          <w:noProof/>
        </w:rPr>
      </w:pPr>
      <w:r w:rsidRPr="00C434C5">
        <w:rPr>
          <w:noProof/>
        </w:rPr>
        <w:t xml:space="preserve">Raz, J. (1986). </w:t>
      </w:r>
      <w:r w:rsidRPr="00C434C5">
        <w:rPr>
          <w:noProof/>
          <w:u w:val="single"/>
        </w:rPr>
        <w:t>The Morality of Freedom</w:t>
      </w:r>
      <w:r w:rsidRPr="00C434C5">
        <w:rPr>
          <w:noProof/>
        </w:rPr>
        <w:t>. Oxford, Clarendon Press.</w:t>
      </w:r>
    </w:p>
    <w:p w14:paraId="11C174AA" w14:textId="77777777" w:rsidR="00C434C5" w:rsidRPr="00C434C5" w:rsidRDefault="00C434C5" w:rsidP="00C434C5">
      <w:pPr>
        <w:pStyle w:val="EndNoteBibliography"/>
        <w:rPr>
          <w:noProof/>
        </w:rPr>
      </w:pPr>
      <w:r w:rsidRPr="00C434C5">
        <w:rPr>
          <w:noProof/>
        </w:rPr>
        <w:t xml:space="preserve">Raz, J. (1994). </w:t>
      </w:r>
      <w:r w:rsidRPr="00C434C5">
        <w:rPr>
          <w:noProof/>
          <w:u w:val="single"/>
        </w:rPr>
        <w:t>Ethics in the Public Domain</w:t>
      </w:r>
      <w:r w:rsidRPr="00C434C5">
        <w:rPr>
          <w:noProof/>
        </w:rPr>
        <w:t>. Oxford, Clarendon Press.</w:t>
      </w:r>
    </w:p>
    <w:p w14:paraId="74C51E76" w14:textId="77777777" w:rsidR="00C434C5" w:rsidRPr="00C434C5" w:rsidRDefault="00C434C5" w:rsidP="00C434C5">
      <w:pPr>
        <w:pStyle w:val="EndNoteBibliography"/>
        <w:rPr>
          <w:noProof/>
        </w:rPr>
      </w:pPr>
      <w:r w:rsidRPr="00C434C5">
        <w:rPr>
          <w:noProof/>
        </w:rPr>
        <w:t xml:space="preserve">Raz, J. (2003). </w:t>
      </w:r>
      <w:r w:rsidRPr="00C434C5">
        <w:rPr>
          <w:noProof/>
          <w:u w:val="single"/>
        </w:rPr>
        <w:t>The Practice of Value</w:t>
      </w:r>
      <w:r w:rsidRPr="00C434C5">
        <w:rPr>
          <w:noProof/>
        </w:rPr>
        <w:t>. Oxford, Clarendon Press.</w:t>
      </w:r>
    </w:p>
    <w:p w14:paraId="6740D228" w14:textId="77777777" w:rsidR="00C434C5" w:rsidRPr="00C434C5" w:rsidRDefault="00C434C5" w:rsidP="00C434C5">
      <w:pPr>
        <w:pStyle w:val="EndNoteBibliography"/>
        <w:rPr>
          <w:noProof/>
        </w:rPr>
      </w:pPr>
      <w:r w:rsidRPr="00C434C5">
        <w:rPr>
          <w:noProof/>
        </w:rPr>
        <w:t xml:space="preserve">Raz, J. (2010). "Responsibility and the Negligence Standard." </w:t>
      </w:r>
      <w:r w:rsidRPr="00C434C5">
        <w:rPr>
          <w:noProof/>
          <w:u w:val="single"/>
        </w:rPr>
        <w:t>Oxford Journal of Legal Studies</w:t>
      </w:r>
      <w:r w:rsidRPr="00C434C5">
        <w:rPr>
          <w:noProof/>
        </w:rPr>
        <w:t xml:space="preserve"> </w:t>
      </w:r>
      <w:r w:rsidRPr="00C434C5">
        <w:rPr>
          <w:b/>
          <w:noProof/>
        </w:rPr>
        <w:t>30</w:t>
      </w:r>
      <w:r w:rsidRPr="00C434C5">
        <w:rPr>
          <w:noProof/>
        </w:rPr>
        <w:t>(1): 1-18.</w:t>
      </w:r>
    </w:p>
    <w:p w14:paraId="5B66E8DB" w14:textId="77777777" w:rsidR="00C434C5" w:rsidRPr="00C434C5" w:rsidRDefault="00C434C5" w:rsidP="00C434C5">
      <w:pPr>
        <w:pStyle w:val="EndNoteBibliography"/>
        <w:rPr>
          <w:noProof/>
        </w:rPr>
      </w:pPr>
      <w:r w:rsidRPr="00C434C5">
        <w:rPr>
          <w:noProof/>
        </w:rPr>
        <w:t xml:space="preserve">Raz, J. (2014). Is There a Reason to Keep a Promise? </w:t>
      </w:r>
      <w:r w:rsidRPr="00C434C5">
        <w:rPr>
          <w:noProof/>
          <w:u w:val="single"/>
        </w:rPr>
        <w:t>Philosophical Foundations of Contract Law</w:t>
      </w:r>
      <w:r w:rsidRPr="00C434C5">
        <w:rPr>
          <w:noProof/>
        </w:rPr>
        <w:t>. G. Klass, G. Letsas and P. Saprai. Oxford, Oxford University Press</w:t>
      </w:r>
      <w:r w:rsidRPr="00C434C5">
        <w:rPr>
          <w:b/>
          <w:noProof/>
        </w:rPr>
        <w:t xml:space="preserve">: </w:t>
      </w:r>
      <w:r w:rsidRPr="00C434C5">
        <w:rPr>
          <w:noProof/>
        </w:rPr>
        <w:t>58-77.</w:t>
      </w:r>
    </w:p>
    <w:p w14:paraId="18ECAD6D" w14:textId="77777777" w:rsidR="00C434C5" w:rsidRPr="00C434C5" w:rsidRDefault="00C434C5" w:rsidP="00C434C5">
      <w:pPr>
        <w:pStyle w:val="EndNoteBibliography"/>
        <w:rPr>
          <w:noProof/>
        </w:rPr>
      </w:pPr>
      <w:r w:rsidRPr="00C434C5">
        <w:rPr>
          <w:noProof/>
        </w:rPr>
        <w:t xml:space="preserve">Ripstein, A. (2021). "The Contract Theory of Choices." </w:t>
      </w:r>
      <w:r w:rsidRPr="00C434C5">
        <w:rPr>
          <w:noProof/>
          <w:u w:val="single"/>
        </w:rPr>
        <w:t>Law and Philosophy</w:t>
      </w:r>
      <w:r w:rsidRPr="00C434C5">
        <w:rPr>
          <w:noProof/>
        </w:rPr>
        <w:t>.</w:t>
      </w:r>
    </w:p>
    <w:p w14:paraId="2533DC6E" w14:textId="77777777" w:rsidR="00C434C5" w:rsidRPr="00C434C5" w:rsidRDefault="00C434C5" w:rsidP="00C434C5">
      <w:pPr>
        <w:pStyle w:val="EndNoteBibliography"/>
        <w:rPr>
          <w:noProof/>
        </w:rPr>
      </w:pPr>
      <w:r w:rsidRPr="00C434C5">
        <w:rPr>
          <w:noProof/>
        </w:rPr>
        <w:t xml:space="preserve">Smith, L. (2017). "Massively Discretionary Trusts." </w:t>
      </w:r>
      <w:r w:rsidRPr="00C434C5">
        <w:rPr>
          <w:noProof/>
          <w:u w:val="single"/>
        </w:rPr>
        <w:t>Current Legal Problems</w:t>
      </w:r>
      <w:r w:rsidRPr="00C434C5">
        <w:rPr>
          <w:noProof/>
        </w:rPr>
        <w:t xml:space="preserve"> </w:t>
      </w:r>
      <w:r w:rsidRPr="00C434C5">
        <w:rPr>
          <w:b/>
          <w:noProof/>
        </w:rPr>
        <w:t>70</w:t>
      </w:r>
      <w:r w:rsidRPr="00C434C5">
        <w:rPr>
          <w:noProof/>
        </w:rPr>
        <w:t>: 17-54.</w:t>
      </w:r>
    </w:p>
    <w:p w14:paraId="6E1A3ABE" w14:textId="77777777" w:rsidR="00C434C5" w:rsidRPr="00C434C5" w:rsidRDefault="00C434C5" w:rsidP="00C434C5">
      <w:pPr>
        <w:pStyle w:val="EndNoteBibliography"/>
        <w:rPr>
          <w:noProof/>
        </w:rPr>
      </w:pPr>
      <w:r w:rsidRPr="00C434C5">
        <w:rPr>
          <w:noProof/>
        </w:rPr>
        <w:t>Stevens, R. (2020). Contract, Rights and the Morality of Promising.</w:t>
      </w:r>
    </w:p>
    <w:p w14:paraId="37FCC6E5" w14:textId="519C23E7" w:rsidR="00920DC3" w:rsidRPr="008F68D6" w:rsidRDefault="00646297" w:rsidP="008F68D6">
      <w:pPr>
        <w:jc w:val="both"/>
        <w:rPr>
          <w:rFonts w:ascii="Cambria" w:hAnsi="Cambria" w:cstheme="minorHAnsi"/>
          <w:lang w:val="en-US"/>
        </w:rPr>
      </w:pPr>
      <w:r w:rsidRPr="008F68D6">
        <w:rPr>
          <w:rFonts w:ascii="Cambria" w:hAnsi="Cambria" w:cstheme="minorHAnsi"/>
          <w:lang w:val="en-US"/>
        </w:rPr>
        <w:lastRenderedPageBreak/>
        <w:fldChar w:fldCharType="end"/>
      </w:r>
    </w:p>
    <w:sectPr w:rsidR="00920DC3" w:rsidRPr="008F68D6" w:rsidSect="00D07CBC">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971E9" w14:textId="77777777" w:rsidR="002959BB" w:rsidRDefault="002959BB" w:rsidP="0087282A">
      <w:r>
        <w:separator/>
      </w:r>
    </w:p>
  </w:endnote>
  <w:endnote w:type="continuationSeparator" w:id="0">
    <w:p w14:paraId="033E7B0A" w14:textId="77777777" w:rsidR="002959BB" w:rsidRDefault="002959BB" w:rsidP="0087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20081" w14:textId="77777777" w:rsidR="002959BB" w:rsidRDefault="002959BB" w:rsidP="0087282A">
      <w:r>
        <w:separator/>
      </w:r>
    </w:p>
  </w:footnote>
  <w:footnote w:type="continuationSeparator" w:id="0">
    <w:p w14:paraId="275D3770" w14:textId="77777777" w:rsidR="002959BB" w:rsidRDefault="002959BB" w:rsidP="0087282A">
      <w:r>
        <w:continuationSeparator/>
      </w:r>
    </w:p>
  </w:footnote>
  <w:footnote w:id="1">
    <w:p w14:paraId="2BB5C245" w14:textId="420F1209" w:rsidR="00A82CF3" w:rsidRPr="00AA167C" w:rsidRDefault="00A82CF3">
      <w:pPr>
        <w:pStyle w:val="FootnoteText"/>
        <w:rPr>
          <w:rFonts w:cstheme="minorHAnsi"/>
          <w:lang w:val="en-US"/>
        </w:rPr>
      </w:pPr>
      <w:r w:rsidRPr="00AA167C">
        <w:rPr>
          <w:rStyle w:val="FootnoteReference"/>
          <w:rFonts w:cstheme="minorHAnsi"/>
        </w:rPr>
        <w:sym w:font="Symbol" w:char="F02A"/>
      </w:r>
      <w:r w:rsidRPr="00AA167C">
        <w:rPr>
          <w:rFonts w:cstheme="minorHAnsi"/>
        </w:rPr>
        <w:t xml:space="preserve"> </w:t>
      </w:r>
      <w:r w:rsidR="00ED14D7" w:rsidRPr="00AA167C">
        <w:rPr>
          <w:rFonts w:cstheme="minorHAnsi"/>
        </w:rPr>
        <w:t xml:space="preserve">Kwa </w:t>
      </w:r>
      <w:proofErr w:type="spellStart"/>
      <w:r w:rsidR="00ED14D7" w:rsidRPr="00AA167C">
        <w:rPr>
          <w:rFonts w:cstheme="minorHAnsi"/>
        </w:rPr>
        <w:t>Geok</w:t>
      </w:r>
      <w:proofErr w:type="spellEnd"/>
      <w:r w:rsidR="00ED14D7" w:rsidRPr="00AA167C">
        <w:rPr>
          <w:rFonts w:cstheme="minorHAnsi"/>
        </w:rPr>
        <w:t xml:space="preserve"> Choo Professor of Property Law, National University of Singapore. Many thanks to </w:t>
      </w:r>
      <w:r w:rsidR="00166446" w:rsidRPr="00AA167C">
        <w:rPr>
          <w:rFonts w:cstheme="minorHAnsi"/>
        </w:rPr>
        <w:t xml:space="preserve">Ding </w:t>
      </w:r>
      <w:proofErr w:type="spellStart"/>
      <w:r w:rsidR="00166446" w:rsidRPr="00AA167C">
        <w:rPr>
          <w:rFonts w:cstheme="minorHAnsi"/>
        </w:rPr>
        <w:t>Chunyan</w:t>
      </w:r>
      <w:proofErr w:type="spellEnd"/>
      <w:r w:rsidR="00166446" w:rsidRPr="00AA167C">
        <w:rPr>
          <w:rFonts w:cstheme="minorHAnsi"/>
        </w:rPr>
        <w:t xml:space="preserve">, </w:t>
      </w:r>
      <w:r w:rsidR="00A13596" w:rsidRPr="00AA167C">
        <w:rPr>
          <w:rFonts w:cstheme="minorHAnsi"/>
        </w:rPr>
        <w:t>Patr</w:t>
      </w:r>
      <w:r w:rsidR="005A00F3">
        <w:rPr>
          <w:rFonts w:cstheme="minorHAnsi"/>
        </w:rPr>
        <w:t>i</w:t>
      </w:r>
      <w:r w:rsidR="00A13596" w:rsidRPr="00AA167C">
        <w:rPr>
          <w:rFonts w:cstheme="minorHAnsi"/>
        </w:rPr>
        <w:t xml:space="preserve">ck Emerton, </w:t>
      </w:r>
      <w:r w:rsidR="00ED14D7" w:rsidRPr="00AA167C">
        <w:rPr>
          <w:rFonts w:cstheme="minorHAnsi"/>
        </w:rPr>
        <w:t>Duncan Horne,</w:t>
      </w:r>
      <w:r w:rsidR="00ED5C09" w:rsidRPr="00AA167C">
        <w:rPr>
          <w:rFonts w:cstheme="minorHAnsi"/>
        </w:rPr>
        <w:t xml:space="preserve"> Rebecca Lee,</w:t>
      </w:r>
      <w:r w:rsidR="00ED14D7" w:rsidRPr="00AA167C">
        <w:rPr>
          <w:rFonts w:cstheme="minorHAnsi"/>
        </w:rPr>
        <w:t xml:space="preserve"> </w:t>
      </w:r>
      <w:r w:rsidR="00ED5C09" w:rsidRPr="00AA167C">
        <w:rPr>
          <w:rFonts w:cstheme="minorHAnsi"/>
        </w:rPr>
        <w:t xml:space="preserve">Nicholas Liu, </w:t>
      </w:r>
      <w:r w:rsidR="00ED14D7" w:rsidRPr="00AA167C">
        <w:rPr>
          <w:rFonts w:cstheme="minorHAnsi"/>
        </w:rPr>
        <w:t xml:space="preserve">Jan </w:t>
      </w:r>
      <w:proofErr w:type="spellStart"/>
      <w:r w:rsidR="00ED14D7" w:rsidRPr="00AA167C">
        <w:rPr>
          <w:rFonts w:cstheme="minorHAnsi"/>
        </w:rPr>
        <w:t>Mihal</w:t>
      </w:r>
      <w:proofErr w:type="spellEnd"/>
      <w:r w:rsidR="00ED14D7" w:rsidRPr="00AA167C">
        <w:rPr>
          <w:rFonts w:cstheme="minorHAnsi"/>
        </w:rPr>
        <w:t xml:space="preserve">, </w:t>
      </w:r>
      <w:r w:rsidR="00CE5065" w:rsidRPr="00AA167C">
        <w:rPr>
          <w:rFonts w:cstheme="minorHAnsi"/>
        </w:rPr>
        <w:t xml:space="preserve">Alvin See, </w:t>
      </w:r>
      <w:r w:rsidR="00F3203F" w:rsidRPr="00AA167C">
        <w:rPr>
          <w:rFonts w:cstheme="minorHAnsi"/>
        </w:rPr>
        <w:t xml:space="preserve">Stephen Smith, </w:t>
      </w:r>
      <w:r w:rsidR="002D29CD" w:rsidRPr="00AA167C">
        <w:rPr>
          <w:rFonts w:cstheme="minorHAnsi"/>
          <w:lang w:val="en-GB"/>
        </w:rPr>
        <w:t xml:space="preserve">Masayuki </w:t>
      </w:r>
      <w:proofErr w:type="spellStart"/>
      <w:r w:rsidR="002D29CD" w:rsidRPr="00AA167C">
        <w:rPr>
          <w:rFonts w:cstheme="minorHAnsi"/>
          <w:lang w:val="en-GB"/>
        </w:rPr>
        <w:t>Tamaruya</w:t>
      </w:r>
      <w:proofErr w:type="spellEnd"/>
      <w:r w:rsidR="00166446" w:rsidRPr="00AA167C">
        <w:rPr>
          <w:rFonts w:cstheme="minorHAnsi"/>
          <w:lang w:val="en-GB"/>
        </w:rPr>
        <w:t>,</w:t>
      </w:r>
      <w:r w:rsidR="00ED14D7" w:rsidRPr="00AA167C">
        <w:rPr>
          <w:rFonts w:cstheme="minorHAnsi"/>
        </w:rPr>
        <w:t xml:space="preserve"> </w:t>
      </w:r>
      <w:r w:rsidR="00ED5C09" w:rsidRPr="00AA167C">
        <w:rPr>
          <w:rFonts w:cstheme="minorHAnsi"/>
        </w:rPr>
        <w:t xml:space="preserve">Ying Hu, </w:t>
      </w:r>
      <w:r w:rsidR="008E0CA4" w:rsidRPr="00AA167C">
        <w:rPr>
          <w:rFonts w:cstheme="minorHAnsi"/>
        </w:rPr>
        <w:t>Yip Man, Q</w:t>
      </w:r>
      <w:proofErr w:type="spellStart"/>
      <w:r w:rsidR="008E0CA4" w:rsidRPr="00AA167C">
        <w:rPr>
          <w:rFonts w:cstheme="minorHAnsi"/>
        </w:rPr>
        <w:t>ui</w:t>
      </w:r>
      <w:r w:rsidR="001132C2" w:rsidRPr="00AA167C">
        <w:rPr>
          <w:rFonts w:cstheme="minorHAnsi"/>
        </w:rPr>
        <w:t>nshe</w:t>
      </w:r>
      <w:proofErr w:type="spellEnd"/>
      <w:r w:rsidR="001132C2" w:rsidRPr="00AA167C">
        <w:rPr>
          <w:rFonts w:cstheme="minorHAnsi"/>
        </w:rPr>
        <w:t xml:space="preserve"> Yao</w:t>
      </w:r>
      <w:r w:rsidR="00ED14D7" w:rsidRPr="00AA167C">
        <w:rPr>
          <w:rFonts w:cstheme="minorHAnsi"/>
        </w:rPr>
        <w:t xml:space="preserve"> for helpful comments and discussion.</w:t>
      </w:r>
    </w:p>
  </w:footnote>
  <w:footnote w:id="2">
    <w:p w14:paraId="1858E00A" w14:textId="32C0C0D0" w:rsidR="0087282A" w:rsidRPr="00AA167C" w:rsidRDefault="0087282A">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5E0C66" w:rsidRPr="00AA167C">
        <w:rPr>
          <w:rFonts w:cstheme="minorHAnsi"/>
          <w:lang w:val="en-US"/>
        </w:rPr>
        <w:t>M</w:t>
      </w:r>
      <w:r w:rsidR="00432D04" w:rsidRPr="00AA167C">
        <w:rPr>
          <w:rFonts w:cstheme="minorHAnsi"/>
          <w:lang w:val="en-US"/>
        </w:rPr>
        <w:t>any</w:t>
      </w:r>
      <w:r w:rsidR="005E0C66" w:rsidRPr="00AA167C">
        <w:rPr>
          <w:rFonts w:cstheme="minorHAnsi"/>
          <w:lang w:val="en-US"/>
        </w:rPr>
        <w:t xml:space="preserve"> not yet published. I shall not list them here.</w:t>
      </w:r>
    </w:p>
  </w:footnote>
  <w:footnote w:id="3">
    <w:p w14:paraId="2BA3E9B2" w14:textId="0DDBA505" w:rsidR="00234FD8" w:rsidRPr="00AA167C" w:rsidRDefault="00234FD8">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920DC3" w:rsidRPr="00AA167C">
        <w:rPr>
          <w:rFonts w:cstheme="minorHAnsi"/>
          <w:lang w:val="en-US"/>
        </w:rPr>
        <w:t>Dagan &amp; Heller 2017; Dagan 2021</w:t>
      </w:r>
      <w:r w:rsidR="00211B65">
        <w:rPr>
          <w:rFonts w:cstheme="minorHAnsi"/>
          <w:lang w:val="en-US"/>
        </w:rPr>
        <w:t xml:space="preserve"> (Property)</w:t>
      </w:r>
      <w:r w:rsidR="00920DC3" w:rsidRPr="00AA167C">
        <w:rPr>
          <w:rFonts w:cstheme="minorHAnsi"/>
          <w:lang w:val="en-US"/>
        </w:rPr>
        <w:t>.</w:t>
      </w:r>
      <w:r w:rsidR="006868C2" w:rsidRPr="00AA167C">
        <w:rPr>
          <w:rFonts w:cstheme="minorHAnsi"/>
          <w:lang w:val="en-US"/>
        </w:rPr>
        <w:t xml:space="preserve"> For recent discussion of the former see Ripstein</w:t>
      </w:r>
      <w:r w:rsidR="00AE33B4" w:rsidRPr="00AA167C">
        <w:rPr>
          <w:rFonts w:cstheme="minorHAnsi"/>
          <w:lang w:val="en-US"/>
        </w:rPr>
        <w:t xml:space="preserve"> </w:t>
      </w:r>
      <w:r w:rsidR="00AC3D94" w:rsidRPr="00AA167C">
        <w:rPr>
          <w:rFonts w:cstheme="minorHAnsi"/>
          <w:lang w:val="en-US"/>
        </w:rPr>
        <w:t>2021</w:t>
      </w:r>
      <w:r w:rsidR="006868C2" w:rsidRPr="00AA167C">
        <w:rPr>
          <w:rFonts w:cstheme="minorHAnsi"/>
          <w:lang w:val="en-US"/>
        </w:rPr>
        <w:t>, Stevens</w:t>
      </w:r>
      <w:r w:rsidR="00AC3D94" w:rsidRPr="00AA167C">
        <w:rPr>
          <w:rFonts w:cstheme="minorHAnsi"/>
          <w:lang w:val="en-US"/>
        </w:rPr>
        <w:t xml:space="preserve"> 2020</w:t>
      </w:r>
      <w:r w:rsidR="006868C2" w:rsidRPr="00AA167C">
        <w:rPr>
          <w:rFonts w:cstheme="minorHAnsi"/>
          <w:lang w:val="en-US"/>
        </w:rPr>
        <w:t xml:space="preserve">, </w:t>
      </w:r>
      <w:r w:rsidR="00A12491" w:rsidRPr="00AA167C">
        <w:rPr>
          <w:rFonts w:cstheme="minorHAnsi"/>
          <w:lang w:val="en-US"/>
        </w:rPr>
        <w:t>Dagan &amp; Heller 2021.</w:t>
      </w:r>
    </w:p>
  </w:footnote>
  <w:footnote w:id="4">
    <w:p w14:paraId="75DFDC0C" w14:textId="7DB078F0" w:rsidR="005A2DB7" w:rsidRPr="00AA167C" w:rsidRDefault="005A2DB7">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7A1CD0" w:rsidRPr="00AA167C">
        <w:rPr>
          <w:rFonts w:cstheme="minorHAnsi"/>
          <w:lang w:val="en-US"/>
        </w:rPr>
        <w:t>The original</w:t>
      </w:r>
      <w:r w:rsidR="00FE3C17" w:rsidRPr="00AA167C">
        <w:rPr>
          <w:rFonts w:cstheme="minorHAnsi"/>
          <w:lang w:val="en-US"/>
        </w:rPr>
        <w:t xml:space="preserve"> </w:t>
      </w:r>
      <w:r w:rsidR="007A1CD0" w:rsidRPr="00AA167C">
        <w:rPr>
          <w:rFonts w:cstheme="minorHAnsi"/>
          <w:lang w:val="en-US"/>
        </w:rPr>
        <w:t>and most thorough treatment is Raz 1986, in particular</w:t>
      </w:r>
      <w:r w:rsidR="00E528F1" w:rsidRPr="00AA167C">
        <w:rPr>
          <w:rFonts w:cstheme="minorHAnsi"/>
          <w:lang w:val="en-US"/>
        </w:rPr>
        <w:t xml:space="preserve"> </w:t>
      </w:r>
      <w:proofErr w:type="spellStart"/>
      <w:r w:rsidR="00E528F1" w:rsidRPr="00AA167C">
        <w:rPr>
          <w:rFonts w:cstheme="minorHAnsi"/>
          <w:lang w:val="en-US"/>
        </w:rPr>
        <w:t>chs</w:t>
      </w:r>
      <w:proofErr w:type="spellEnd"/>
      <w:r w:rsidR="00E528F1" w:rsidRPr="00AA167C">
        <w:rPr>
          <w:rFonts w:cstheme="minorHAnsi"/>
          <w:lang w:val="en-US"/>
        </w:rPr>
        <w:t xml:space="preserve"> 14 </w:t>
      </w:r>
      <w:r w:rsidR="00FE3C17" w:rsidRPr="00AA167C">
        <w:rPr>
          <w:rFonts w:cstheme="minorHAnsi"/>
          <w:lang w:val="en-US"/>
        </w:rPr>
        <w:t xml:space="preserve">and 15. </w:t>
      </w:r>
      <w:r w:rsidR="00053C51" w:rsidRPr="00AA167C">
        <w:rPr>
          <w:rFonts w:cstheme="minorHAnsi"/>
          <w:lang w:val="en-US"/>
        </w:rPr>
        <w:t xml:space="preserve">I have scoured </w:t>
      </w:r>
      <w:r w:rsidR="007B57DB" w:rsidRPr="00AA167C">
        <w:rPr>
          <w:rFonts w:cstheme="minorHAnsi"/>
          <w:lang w:val="en-US"/>
        </w:rPr>
        <w:t xml:space="preserve">all of Raz’s other publications that I have and as far as I can tell </w:t>
      </w:r>
      <w:r w:rsidR="00A6442F" w:rsidRPr="00AA167C">
        <w:rPr>
          <w:rFonts w:cstheme="minorHAnsi"/>
          <w:lang w:val="en-US"/>
        </w:rPr>
        <w:t xml:space="preserve">there are no later sustained treatments of autonomy, though </w:t>
      </w:r>
      <w:r w:rsidR="00E97184" w:rsidRPr="00AA167C">
        <w:rPr>
          <w:rFonts w:cstheme="minorHAnsi"/>
          <w:lang w:val="en-US"/>
        </w:rPr>
        <w:t>Raz revisits some of the important themes in Raz</w:t>
      </w:r>
      <w:r w:rsidR="00AE6722" w:rsidRPr="00AA167C">
        <w:rPr>
          <w:rFonts w:cstheme="minorHAnsi"/>
          <w:lang w:val="en-US"/>
        </w:rPr>
        <w:t xml:space="preserve"> 1994, 102-109</w:t>
      </w:r>
      <w:r w:rsidR="00B86BA0" w:rsidRPr="00AA167C">
        <w:rPr>
          <w:rFonts w:cstheme="minorHAnsi"/>
          <w:lang w:val="en-US"/>
        </w:rPr>
        <w:t>, and Raz</w:t>
      </w:r>
      <w:r w:rsidR="00666CDE" w:rsidRPr="00AA167C">
        <w:rPr>
          <w:rFonts w:cstheme="minorHAnsi"/>
          <w:lang w:val="en-US"/>
        </w:rPr>
        <w:t xml:space="preserve"> 2003.</w:t>
      </w:r>
    </w:p>
  </w:footnote>
  <w:footnote w:id="5">
    <w:p w14:paraId="283F337E" w14:textId="5719062F" w:rsidR="00237091" w:rsidRPr="00AA167C" w:rsidRDefault="00237091">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w:t>
      </w:r>
      <w:r w:rsidR="00E96F7A" w:rsidRPr="00AA167C">
        <w:rPr>
          <w:rFonts w:cstheme="minorHAnsi"/>
          <w:lang w:val="en-US"/>
        </w:rPr>
        <w:t xml:space="preserve"> 1986, 372-373.</w:t>
      </w:r>
      <w:r w:rsidR="0052147F" w:rsidRPr="00AA167C">
        <w:rPr>
          <w:rFonts w:cstheme="minorHAnsi"/>
          <w:lang w:val="en-US"/>
        </w:rPr>
        <w:t xml:space="preserve"> </w:t>
      </w:r>
    </w:p>
  </w:footnote>
  <w:footnote w:id="6">
    <w:p w14:paraId="7ADCE762" w14:textId="1E3013C2" w:rsidR="003F7BFD" w:rsidRPr="00AA167C" w:rsidRDefault="003F7BFD">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E96F7A" w:rsidRPr="00AA167C">
        <w:rPr>
          <w:rFonts w:cstheme="minorHAnsi"/>
          <w:lang w:val="en-US"/>
        </w:rPr>
        <w:t>Raz 1986, 204.</w:t>
      </w:r>
    </w:p>
  </w:footnote>
  <w:footnote w:id="7">
    <w:p w14:paraId="7C526D24" w14:textId="713CF0EF" w:rsidR="00F57B57" w:rsidRPr="00AA167C" w:rsidRDefault="00F57B57">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614AB6" w:rsidRPr="00AA167C">
        <w:rPr>
          <w:rFonts w:cstheme="minorHAnsi"/>
          <w:lang w:val="en-US"/>
        </w:rPr>
        <w:t>Raz 1986, 381.</w:t>
      </w:r>
    </w:p>
  </w:footnote>
  <w:footnote w:id="8">
    <w:p w14:paraId="70FA54C4" w14:textId="7EA72BB2" w:rsidR="00235317" w:rsidRPr="00AA167C" w:rsidRDefault="00235317">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04657B" w:rsidRPr="00AA167C">
        <w:rPr>
          <w:rFonts w:cstheme="minorHAnsi"/>
        </w:rPr>
        <w:t>Raz 1986, chapter 15.</w:t>
      </w:r>
      <w:r w:rsidR="008B3EE4" w:rsidRPr="00AA167C">
        <w:rPr>
          <w:rFonts w:cstheme="minorHAnsi"/>
        </w:rPr>
        <w:t xml:space="preserve"> See also </w:t>
      </w:r>
      <w:r w:rsidR="00504CC8" w:rsidRPr="00AA167C">
        <w:rPr>
          <w:rFonts w:cstheme="minorHAnsi"/>
        </w:rPr>
        <w:t>Raz 1994, Chapter 4.</w:t>
      </w:r>
    </w:p>
  </w:footnote>
  <w:footnote w:id="9">
    <w:p w14:paraId="03588B47" w14:textId="171A1298" w:rsidR="003702C3" w:rsidRPr="00AA167C" w:rsidRDefault="003702C3">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1986, 391.</w:t>
      </w:r>
    </w:p>
  </w:footnote>
  <w:footnote w:id="10">
    <w:p w14:paraId="47131DA6" w14:textId="4F60AAA7" w:rsidR="00B86CDF" w:rsidRPr="00AA167C" w:rsidRDefault="00B86CDF">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 xml:space="preserve">Raz </w:t>
      </w:r>
      <w:r w:rsidR="00F1111A" w:rsidRPr="00AA167C">
        <w:rPr>
          <w:rFonts w:cstheme="minorHAnsi"/>
          <w:lang w:val="en-US"/>
        </w:rPr>
        <w:t>395-399.</w:t>
      </w:r>
    </w:p>
  </w:footnote>
  <w:footnote w:id="11">
    <w:p w14:paraId="2E25D7B6" w14:textId="5EF13AF8" w:rsidR="009C7584" w:rsidRPr="00AA167C" w:rsidRDefault="009C7584">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w:t>
      </w:r>
      <w:r w:rsidR="006D1617" w:rsidRPr="00AA167C">
        <w:rPr>
          <w:rFonts w:cstheme="minorHAnsi"/>
          <w:lang w:val="en-US"/>
        </w:rPr>
        <w:t xml:space="preserve"> 1986, </w:t>
      </w:r>
      <w:r w:rsidR="00962A5D" w:rsidRPr="00AA167C">
        <w:rPr>
          <w:rFonts w:cstheme="minorHAnsi"/>
          <w:lang w:val="en-US"/>
        </w:rPr>
        <w:t>205-207</w:t>
      </w:r>
      <w:r w:rsidR="00B212BA" w:rsidRPr="00AA167C">
        <w:rPr>
          <w:rFonts w:cstheme="minorHAnsi"/>
          <w:lang w:val="en-US"/>
        </w:rPr>
        <w:t xml:space="preserve">, </w:t>
      </w:r>
      <w:r w:rsidR="00B53546" w:rsidRPr="00AA167C">
        <w:rPr>
          <w:rFonts w:cstheme="minorHAnsi"/>
          <w:lang w:val="en-US"/>
        </w:rPr>
        <w:t>369-370</w:t>
      </w:r>
    </w:p>
  </w:footnote>
  <w:footnote w:id="12">
    <w:p w14:paraId="3405D13F" w14:textId="7FC3C8E3" w:rsidR="00F52EB1" w:rsidRPr="00AA167C" w:rsidRDefault="00F52EB1">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cite</w:t>
      </w:r>
      <w:r w:rsidR="00C70A78" w:rsidRPr="00AA167C">
        <w:rPr>
          <w:rFonts w:cstheme="minorHAnsi"/>
          <w:lang w:val="en-US"/>
        </w:rPr>
        <w:t>.</w:t>
      </w:r>
    </w:p>
  </w:footnote>
  <w:footnote w:id="13">
    <w:p w14:paraId="3651A334" w14:textId="03BAC0BA" w:rsidR="00770EFE" w:rsidRPr="00AA167C" w:rsidRDefault="00770EFE">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2618FE" w:rsidRPr="00AA167C">
        <w:rPr>
          <w:rFonts w:cstheme="minorHAnsi"/>
          <w:lang w:val="en-US"/>
        </w:rPr>
        <w:t xml:space="preserve">Raz 1986, </w:t>
      </w:r>
      <w:r w:rsidR="00C11046" w:rsidRPr="00AA167C">
        <w:rPr>
          <w:rFonts w:cstheme="minorHAnsi"/>
          <w:lang w:val="en-US"/>
        </w:rPr>
        <w:t>392-393.</w:t>
      </w:r>
    </w:p>
  </w:footnote>
  <w:footnote w:id="14">
    <w:p w14:paraId="271BEA06" w14:textId="35CBEC52" w:rsidR="00B33EB3" w:rsidRPr="00AA167C" w:rsidRDefault="00B33EB3">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830D76" w:rsidRPr="00AA167C">
        <w:rPr>
          <w:rFonts w:cstheme="minorHAnsi"/>
          <w:lang w:val="en-US"/>
        </w:rPr>
        <w:t>Discussed at Raz 1986, 392-</w:t>
      </w:r>
      <w:r w:rsidR="00115916" w:rsidRPr="00AA167C">
        <w:rPr>
          <w:rFonts w:cstheme="minorHAnsi"/>
          <w:lang w:val="en-US"/>
        </w:rPr>
        <w:t>393.</w:t>
      </w:r>
    </w:p>
  </w:footnote>
  <w:footnote w:id="15">
    <w:p w14:paraId="2B006742" w14:textId="7F3FF957" w:rsidR="00F50CF4" w:rsidRPr="00AA167C" w:rsidRDefault="00F50CF4">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1F039C" w:rsidRPr="00AA167C">
        <w:rPr>
          <w:rFonts w:cstheme="minorHAnsi"/>
          <w:lang w:val="en-US"/>
        </w:rPr>
        <w:t>There are different options in making sense of this; one might say our ‘concept’ of marriage has changed</w:t>
      </w:r>
      <w:r w:rsidR="00E40184" w:rsidRPr="00AA167C">
        <w:rPr>
          <w:rFonts w:cstheme="minorHAnsi"/>
          <w:lang w:val="en-US"/>
        </w:rPr>
        <w:t>, though it is obviously related to the concept of marriage</w:t>
      </w:r>
      <w:r w:rsidR="000077D6" w:rsidRPr="00AA167C">
        <w:rPr>
          <w:rFonts w:cstheme="minorHAnsi"/>
          <w:lang w:val="en-US"/>
        </w:rPr>
        <w:t xml:space="preserve"> from past times</w:t>
      </w:r>
      <w:r w:rsidR="001F039C" w:rsidRPr="00AA167C">
        <w:rPr>
          <w:rFonts w:cstheme="minorHAnsi"/>
          <w:lang w:val="en-US"/>
        </w:rPr>
        <w:t>, or alternatively th</w:t>
      </w:r>
      <w:r w:rsidR="00F45831" w:rsidRPr="00AA167C">
        <w:rPr>
          <w:rFonts w:cstheme="minorHAnsi"/>
          <w:lang w:val="en-US"/>
        </w:rPr>
        <w:t xml:space="preserve">at we retain the same concept but have formed new beliefs and rejected </w:t>
      </w:r>
      <w:r w:rsidR="00330BCD" w:rsidRPr="00AA167C">
        <w:rPr>
          <w:rFonts w:cstheme="minorHAnsi"/>
          <w:lang w:val="en-US"/>
        </w:rPr>
        <w:t xml:space="preserve">some old ones </w:t>
      </w:r>
      <w:r w:rsidR="00F45831" w:rsidRPr="00AA167C">
        <w:rPr>
          <w:rFonts w:cstheme="minorHAnsi"/>
          <w:lang w:val="en-US"/>
        </w:rPr>
        <w:t xml:space="preserve">about the phenomenon the concept represents, or that we have come to </w:t>
      </w:r>
      <w:r w:rsidR="00457A56" w:rsidRPr="00AA167C">
        <w:rPr>
          <w:rFonts w:cstheme="minorHAnsi"/>
          <w:lang w:val="en-US"/>
        </w:rPr>
        <w:t xml:space="preserve">have learned about the phenomenon such that we have come to a truer understanding </w:t>
      </w:r>
      <w:r w:rsidR="00E650E4" w:rsidRPr="00AA167C">
        <w:rPr>
          <w:rFonts w:cstheme="minorHAnsi"/>
          <w:lang w:val="en-US"/>
        </w:rPr>
        <w:t>of marriage than did our forebears. Here is not the place to get into this, though for what it is worth I would reject the last</w:t>
      </w:r>
      <w:r w:rsidR="004D105C" w:rsidRPr="00AA167C">
        <w:rPr>
          <w:rFonts w:cstheme="minorHAnsi"/>
          <w:lang w:val="en-US"/>
        </w:rPr>
        <w:t xml:space="preserve"> option</w:t>
      </w:r>
      <w:r w:rsidR="00E650E4" w:rsidRPr="00AA167C">
        <w:rPr>
          <w:rFonts w:cstheme="minorHAnsi"/>
          <w:lang w:val="en-US"/>
        </w:rPr>
        <w:t>.</w:t>
      </w:r>
    </w:p>
  </w:footnote>
  <w:footnote w:id="16">
    <w:p w14:paraId="2A536A79" w14:textId="3DA7F904" w:rsidR="002973CF" w:rsidRPr="00AA167C" w:rsidRDefault="002973CF">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 xml:space="preserve">Raz 1986, </w:t>
      </w:r>
      <w:r w:rsidR="007B08B1" w:rsidRPr="00AA167C">
        <w:rPr>
          <w:rFonts w:cstheme="minorHAnsi"/>
          <w:lang w:val="en-US"/>
        </w:rPr>
        <w:t>383-</w:t>
      </w:r>
      <w:r w:rsidR="00CA32B5" w:rsidRPr="00AA167C">
        <w:rPr>
          <w:rFonts w:cstheme="minorHAnsi"/>
          <w:lang w:val="en-US"/>
        </w:rPr>
        <w:t>390</w:t>
      </w:r>
      <w:r w:rsidR="00AF592C" w:rsidRPr="00AA167C">
        <w:rPr>
          <w:rFonts w:cstheme="minorHAnsi"/>
          <w:lang w:val="en-US"/>
        </w:rPr>
        <w:t>.</w:t>
      </w:r>
      <w:r w:rsidR="00CD696E" w:rsidRPr="00AA167C">
        <w:rPr>
          <w:rFonts w:cstheme="minorHAnsi"/>
          <w:lang w:val="en-US"/>
        </w:rPr>
        <w:t xml:space="preserve"> </w:t>
      </w:r>
      <w:r w:rsidR="008825D2" w:rsidRPr="00AA167C">
        <w:rPr>
          <w:rFonts w:cstheme="minorHAnsi"/>
          <w:lang w:val="en-US"/>
        </w:rPr>
        <w:t xml:space="preserve">All of the issues </w:t>
      </w:r>
      <w:r w:rsidR="00F27C40" w:rsidRPr="00AA167C">
        <w:rPr>
          <w:rFonts w:cstheme="minorHAnsi"/>
          <w:lang w:val="en-US"/>
        </w:rPr>
        <w:t>raised</w:t>
      </w:r>
      <w:r w:rsidR="008825D2" w:rsidRPr="00AA167C">
        <w:rPr>
          <w:rFonts w:cstheme="minorHAnsi"/>
          <w:lang w:val="en-US"/>
        </w:rPr>
        <w:t xml:space="preserve"> in this paragraph are explored in illuminating detail in Raz 2003.</w:t>
      </w:r>
    </w:p>
  </w:footnote>
  <w:footnote w:id="17">
    <w:p w14:paraId="0330990E" w14:textId="65B77352" w:rsidR="00FA79A0" w:rsidRPr="00AA167C" w:rsidRDefault="00FA79A0">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1986,</w:t>
      </w:r>
      <w:r w:rsidR="008D57A6" w:rsidRPr="00AA167C">
        <w:rPr>
          <w:rFonts w:cstheme="minorHAnsi"/>
          <w:lang w:val="en-US"/>
        </w:rPr>
        <w:t xml:space="preserve"> 42-5</w:t>
      </w:r>
      <w:r w:rsidR="001F25F8" w:rsidRPr="00AA167C">
        <w:rPr>
          <w:rFonts w:cstheme="minorHAnsi"/>
          <w:lang w:val="en-US"/>
        </w:rPr>
        <w:t>3.</w:t>
      </w:r>
    </w:p>
  </w:footnote>
  <w:footnote w:id="18">
    <w:p w14:paraId="1AAF439D" w14:textId="5B570FF3" w:rsidR="000E74C2" w:rsidRPr="00AA167C" w:rsidRDefault="000E74C2">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 xml:space="preserve">The preceding </w:t>
      </w:r>
      <w:r w:rsidR="000A5608" w:rsidRPr="00AA167C">
        <w:rPr>
          <w:rFonts w:cstheme="minorHAnsi"/>
          <w:lang w:val="en-US"/>
        </w:rPr>
        <w:t xml:space="preserve">two </w:t>
      </w:r>
      <w:r w:rsidRPr="00AA167C">
        <w:rPr>
          <w:rFonts w:cstheme="minorHAnsi"/>
          <w:lang w:val="en-US"/>
        </w:rPr>
        <w:t>paragraphs draw upon Penner 2020 (‘Justifying’) and Penner 2020</w:t>
      </w:r>
      <w:r w:rsidR="00BA2C79" w:rsidRPr="00AA167C">
        <w:rPr>
          <w:rFonts w:cstheme="minorHAnsi"/>
          <w:lang w:val="en-US"/>
        </w:rPr>
        <w:t xml:space="preserve"> (PRAR)</w:t>
      </w:r>
      <w:r w:rsidR="000A5608" w:rsidRPr="00AA167C">
        <w:rPr>
          <w:rFonts w:cstheme="minorHAnsi"/>
          <w:lang w:val="en-US"/>
        </w:rPr>
        <w:t>, chapter 8.</w:t>
      </w:r>
    </w:p>
  </w:footnote>
  <w:footnote w:id="19">
    <w:p w14:paraId="695AE337" w14:textId="77777777" w:rsidR="00F77718" w:rsidRPr="00AA167C" w:rsidRDefault="00F77718" w:rsidP="00F77718">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2010, 4.</w:t>
      </w:r>
    </w:p>
  </w:footnote>
  <w:footnote w:id="20">
    <w:p w14:paraId="39CD27A8" w14:textId="77777777" w:rsidR="002D24BB" w:rsidRPr="00AA167C" w:rsidRDefault="002D24BB" w:rsidP="002D24BB">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1986, 377-378.</w:t>
      </w:r>
    </w:p>
  </w:footnote>
  <w:footnote w:id="21">
    <w:p w14:paraId="0E773A1E" w14:textId="77777777" w:rsidR="002D24BB" w:rsidRPr="00AA167C" w:rsidRDefault="002D24BB" w:rsidP="002D24BB">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1986, 378.</w:t>
      </w:r>
    </w:p>
  </w:footnote>
  <w:footnote w:id="22">
    <w:p w14:paraId="2D8B4448" w14:textId="77777777" w:rsidR="005D66A8" w:rsidRPr="00AA167C" w:rsidRDefault="005D66A8" w:rsidP="005D66A8">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1986, 413.</w:t>
      </w:r>
    </w:p>
  </w:footnote>
  <w:footnote w:id="23">
    <w:p w14:paraId="52C736E0" w14:textId="77777777" w:rsidR="005D66A8" w:rsidRPr="00AA167C" w:rsidRDefault="005D66A8" w:rsidP="005D66A8">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rPr>
        <w:t>The facilitative side of private law comprises much more than contract – agency, bailment, trusts, and so on, which may involve contracts but needn’t – but as far as I know Raz doesn’t discuss any of these.</w:t>
      </w:r>
    </w:p>
  </w:footnote>
  <w:footnote w:id="24">
    <w:p w14:paraId="3F911C79" w14:textId="77777777" w:rsidR="005D66A8" w:rsidRPr="00AA167C" w:rsidRDefault="005D66A8" w:rsidP="005D66A8">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2014, 61; see also ibid at 67 and Raz 1994, 38.</w:t>
      </w:r>
    </w:p>
  </w:footnote>
  <w:footnote w:id="25">
    <w:p w14:paraId="532E482C" w14:textId="77777777" w:rsidR="00376AF0" w:rsidRPr="00AA167C" w:rsidRDefault="00376AF0" w:rsidP="00376AF0">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1986, 213.</w:t>
      </w:r>
    </w:p>
  </w:footnote>
  <w:footnote w:id="26">
    <w:p w14:paraId="31939FAB" w14:textId="5C337EF4" w:rsidR="00376AF0" w:rsidRPr="00AA167C" w:rsidRDefault="00376AF0" w:rsidP="00376AF0">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For Raz’s own discussion o</w:t>
      </w:r>
      <w:r w:rsidR="00A2083D">
        <w:rPr>
          <w:rFonts w:cstheme="minorHAnsi"/>
          <w:lang w:val="en-US"/>
        </w:rPr>
        <w:t>f</w:t>
      </w:r>
      <w:r w:rsidRPr="00AA167C">
        <w:rPr>
          <w:rFonts w:cstheme="minorHAnsi"/>
          <w:lang w:val="en-US"/>
        </w:rPr>
        <w:t xml:space="preserve"> a broad notion of morality which clearly encompasses both ‘morality’ and ‘ethics’ as I have called them, see Raz 1986, 214-216. See also Raz 2003, 34-35, 152-153, where Raz seems to treat ‘moral’ values in the narrow sense, distinguishing them from values which are not subject to the ‘special social dependence thesis’, viz the thesis that ‘some values exist only if there are (or were) social practices sustaining them’. Ibid, at 19.</w:t>
      </w:r>
    </w:p>
  </w:footnote>
  <w:footnote w:id="27">
    <w:p w14:paraId="3BBCFEA2" w14:textId="77777777" w:rsidR="00FA3D78" w:rsidRPr="00AA167C" w:rsidRDefault="00FA3D78" w:rsidP="00FA3D78">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1986, 204-205.</w:t>
      </w:r>
    </w:p>
  </w:footnote>
  <w:footnote w:id="28">
    <w:p w14:paraId="3A4249E8" w14:textId="1B299D8B" w:rsidR="00FC011F" w:rsidRPr="00AA167C" w:rsidRDefault="00FC011F">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CA59F3" w:rsidRPr="00AA167C">
        <w:rPr>
          <w:rFonts w:cstheme="minorHAnsi"/>
          <w:lang w:val="en-US"/>
        </w:rPr>
        <w:t>Raz 1986, 207.</w:t>
      </w:r>
    </w:p>
  </w:footnote>
  <w:footnote w:id="29">
    <w:p w14:paraId="3E893A66" w14:textId="71A84366" w:rsidR="002837BF" w:rsidRPr="00AA167C" w:rsidRDefault="002837BF">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Penner 2020 (PRAR</w:t>
      </w:r>
      <w:r w:rsidR="00376AA7" w:rsidRPr="00AA167C">
        <w:rPr>
          <w:rFonts w:cstheme="minorHAnsi"/>
          <w:lang w:val="en-US"/>
        </w:rPr>
        <w:t>)</w:t>
      </w:r>
      <w:r w:rsidRPr="00AA167C">
        <w:rPr>
          <w:rFonts w:cstheme="minorHAnsi"/>
          <w:lang w:val="en-US"/>
        </w:rPr>
        <w:t xml:space="preserve">, </w:t>
      </w:r>
      <w:r w:rsidR="002A31D8" w:rsidRPr="00AA167C">
        <w:rPr>
          <w:rFonts w:cstheme="minorHAnsi"/>
          <w:lang w:val="en-US"/>
        </w:rPr>
        <w:t>143-</w:t>
      </w:r>
      <w:r w:rsidR="00376AA7" w:rsidRPr="00AA167C">
        <w:rPr>
          <w:rFonts w:cstheme="minorHAnsi"/>
          <w:lang w:val="en-US"/>
        </w:rPr>
        <w:t>155.</w:t>
      </w:r>
    </w:p>
  </w:footnote>
  <w:footnote w:id="30">
    <w:p w14:paraId="38350755" w14:textId="339969E3" w:rsidR="00376AA7" w:rsidRPr="00AA167C" w:rsidRDefault="00376AA7">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B96FD8" w:rsidRPr="00AA167C">
        <w:rPr>
          <w:rFonts w:cstheme="minorHAnsi"/>
        </w:rPr>
        <w:t xml:space="preserve">Penner 2021, </w:t>
      </w:r>
      <w:r w:rsidR="004B2EBD" w:rsidRPr="00AA167C">
        <w:rPr>
          <w:rFonts w:cstheme="minorHAnsi"/>
        </w:rPr>
        <w:t>59-60.</w:t>
      </w:r>
    </w:p>
  </w:footnote>
  <w:footnote w:id="31">
    <w:p w14:paraId="26F5C19C" w14:textId="4D0CB51A" w:rsidR="001800EA" w:rsidRPr="00AA167C" w:rsidRDefault="001800EA">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 xml:space="preserve">Penner, 2020 (PRAR), </w:t>
      </w:r>
      <w:r w:rsidR="00E62677" w:rsidRPr="00AA167C">
        <w:rPr>
          <w:rFonts w:cstheme="minorHAnsi"/>
          <w:lang w:val="en-US"/>
        </w:rPr>
        <w:t>12-</w:t>
      </w:r>
      <w:r w:rsidR="0048728A" w:rsidRPr="00AA167C">
        <w:rPr>
          <w:rFonts w:cstheme="minorHAnsi"/>
          <w:lang w:val="en-US"/>
        </w:rPr>
        <w:t>18.</w:t>
      </w:r>
    </w:p>
  </w:footnote>
  <w:footnote w:id="32">
    <w:p w14:paraId="27C3F853" w14:textId="024EB469" w:rsidR="00FC6294" w:rsidRPr="00AA167C" w:rsidRDefault="00FC6294">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75678B" w:rsidRPr="00AA167C">
        <w:rPr>
          <w:rFonts w:cstheme="minorHAnsi"/>
          <w:lang w:val="en-US"/>
        </w:rPr>
        <w:t xml:space="preserve">See, </w:t>
      </w:r>
      <w:proofErr w:type="spellStart"/>
      <w:r w:rsidR="0075678B" w:rsidRPr="00AA167C">
        <w:rPr>
          <w:rFonts w:cstheme="minorHAnsi"/>
          <w:lang w:val="en-US"/>
        </w:rPr>
        <w:t>eg</w:t>
      </w:r>
      <w:proofErr w:type="spellEnd"/>
      <w:r w:rsidR="0075678B" w:rsidRPr="00AA167C">
        <w:rPr>
          <w:rFonts w:cstheme="minorHAnsi"/>
          <w:lang w:val="en-US"/>
        </w:rPr>
        <w:t>, Penner</w:t>
      </w:r>
      <w:r w:rsidR="00157D19" w:rsidRPr="00AA167C">
        <w:rPr>
          <w:rFonts w:cstheme="minorHAnsi"/>
          <w:lang w:val="en-US"/>
        </w:rPr>
        <w:t xml:space="preserve"> 2020</w:t>
      </w:r>
      <w:r w:rsidR="008D6240" w:rsidRPr="00AA167C">
        <w:rPr>
          <w:rFonts w:cstheme="minorHAnsi"/>
          <w:lang w:val="en-US"/>
        </w:rPr>
        <w:t xml:space="preserve"> (Mick Jagger)</w:t>
      </w:r>
      <w:r w:rsidR="00157D19" w:rsidRPr="00AA167C">
        <w:rPr>
          <w:rFonts w:cstheme="minorHAnsi"/>
          <w:lang w:val="en-US"/>
        </w:rPr>
        <w:t>.</w:t>
      </w:r>
    </w:p>
  </w:footnote>
  <w:footnote w:id="33">
    <w:p w14:paraId="387CEA2A" w14:textId="23F9F952" w:rsidR="00157D19" w:rsidRPr="00AA167C" w:rsidRDefault="00157D19">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For similar ruminations see Penner</w:t>
      </w:r>
      <w:r w:rsidR="00C83D8B" w:rsidRPr="00AA167C">
        <w:rPr>
          <w:rFonts w:cstheme="minorHAnsi"/>
          <w:lang w:val="en-US"/>
        </w:rPr>
        <w:t xml:space="preserve"> 2018, </w:t>
      </w:r>
      <w:r w:rsidR="006A21C9" w:rsidRPr="00AA167C">
        <w:rPr>
          <w:rFonts w:cstheme="minorHAnsi"/>
          <w:lang w:val="en-US"/>
        </w:rPr>
        <w:t>106-107</w:t>
      </w:r>
      <w:r w:rsidR="00F618C6" w:rsidRPr="00AA167C">
        <w:rPr>
          <w:rFonts w:cstheme="minorHAnsi"/>
          <w:lang w:val="en-US"/>
        </w:rPr>
        <w:t>.</w:t>
      </w:r>
    </w:p>
  </w:footnote>
  <w:footnote w:id="34">
    <w:p w14:paraId="019A1BCD" w14:textId="48582530" w:rsidR="007819A1" w:rsidRPr="00AA167C" w:rsidRDefault="007819A1">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39606C" w:rsidRPr="00AA167C">
        <w:rPr>
          <w:rFonts w:cstheme="minorHAnsi"/>
        </w:rPr>
        <w:t>Green 2019, 21-22</w:t>
      </w:r>
      <w:r w:rsidR="00333515" w:rsidRPr="00AA167C">
        <w:rPr>
          <w:rFonts w:cstheme="minorHAnsi"/>
        </w:rPr>
        <w:t>, footnotes omitted, my italics.</w:t>
      </w:r>
    </w:p>
  </w:footnote>
  <w:footnote w:id="35">
    <w:p w14:paraId="488A097F" w14:textId="0310E05A" w:rsidR="00345F0B" w:rsidRPr="00AA167C" w:rsidRDefault="00345F0B">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Baker 2001.</w:t>
      </w:r>
    </w:p>
  </w:footnote>
  <w:footnote w:id="36">
    <w:p w14:paraId="6CCFA060" w14:textId="7C7444DB" w:rsidR="00795227" w:rsidRPr="00AA167C" w:rsidRDefault="00795227">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2010, 5.</w:t>
      </w:r>
    </w:p>
  </w:footnote>
  <w:footnote w:id="37">
    <w:p w14:paraId="78F4BA08" w14:textId="74219EAE" w:rsidR="00C8769D" w:rsidRPr="00AA167C" w:rsidRDefault="00C8769D">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Gardner 2018 (</w:t>
      </w:r>
      <w:proofErr w:type="spellStart"/>
      <w:r w:rsidRPr="00AA167C">
        <w:rPr>
          <w:rFonts w:cstheme="minorHAnsi"/>
          <w:lang w:val="en-US"/>
        </w:rPr>
        <w:t>Labour</w:t>
      </w:r>
      <w:proofErr w:type="spellEnd"/>
      <w:r w:rsidRPr="00AA167C">
        <w:rPr>
          <w:rFonts w:cstheme="minorHAnsi"/>
          <w:lang w:val="en-US"/>
        </w:rPr>
        <w:t xml:space="preserve">), </w:t>
      </w:r>
      <w:r w:rsidR="00DD6809" w:rsidRPr="00AA167C">
        <w:rPr>
          <w:rFonts w:cstheme="minorHAnsi"/>
          <w:lang w:val="en-US"/>
        </w:rPr>
        <w:t>36.</w:t>
      </w:r>
    </w:p>
  </w:footnote>
  <w:footnote w:id="38">
    <w:p w14:paraId="730A3CCF" w14:textId="529CAD28" w:rsidR="008115D4" w:rsidRPr="00AA167C" w:rsidRDefault="008115D4" w:rsidP="008115D4">
      <w:pPr>
        <w:pStyle w:val="FootnoteText"/>
        <w:rPr>
          <w:rFonts w:cstheme="minorHAnsi"/>
        </w:rPr>
      </w:pPr>
      <w:r w:rsidRPr="00AA167C">
        <w:rPr>
          <w:rStyle w:val="FootnoteReference"/>
          <w:rFonts w:cstheme="minorHAnsi"/>
        </w:rPr>
        <w:footnoteRef/>
      </w:r>
      <w:r w:rsidRPr="00AA167C">
        <w:rPr>
          <w:rFonts w:cstheme="minorHAnsi"/>
        </w:rPr>
        <w:t xml:space="preserve"> </w:t>
      </w:r>
      <w:r w:rsidRPr="00AA167C">
        <w:rPr>
          <w:rFonts w:cstheme="minorHAnsi"/>
        </w:rPr>
        <w:t>Baker</w:t>
      </w:r>
      <w:r w:rsidR="00345F0B" w:rsidRPr="00AA167C">
        <w:rPr>
          <w:rFonts w:cstheme="minorHAnsi"/>
        </w:rPr>
        <w:t xml:space="preserve"> 2001</w:t>
      </w:r>
      <w:r w:rsidRPr="00AA167C">
        <w:rPr>
          <w:rFonts w:cstheme="minorHAnsi"/>
        </w:rPr>
        <w:t>, 59.</w:t>
      </w:r>
    </w:p>
  </w:footnote>
  <w:footnote w:id="39">
    <w:p w14:paraId="6ACBC6B0" w14:textId="5325DA1B" w:rsidR="008115D4" w:rsidRPr="00AA167C" w:rsidRDefault="008115D4" w:rsidP="008115D4">
      <w:pPr>
        <w:pStyle w:val="FootnoteText"/>
        <w:rPr>
          <w:rFonts w:cstheme="minorHAnsi"/>
        </w:rPr>
      </w:pPr>
      <w:r w:rsidRPr="00AA167C">
        <w:rPr>
          <w:rStyle w:val="FootnoteReference"/>
          <w:rFonts w:cstheme="minorHAnsi"/>
        </w:rPr>
        <w:footnoteRef/>
      </w:r>
      <w:r w:rsidRPr="00AA167C">
        <w:rPr>
          <w:rFonts w:cstheme="minorHAnsi"/>
        </w:rPr>
        <w:t xml:space="preserve"> </w:t>
      </w:r>
      <w:r w:rsidRPr="00AA167C">
        <w:rPr>
          <w:rFonts w:cstheme="minorHAnsi"/>
        </w:rPr>
        <w:t xml:space="preserve">I have elsewhere tried to show that the layman’s concept of property has ill-deserved the abuse it has received at the hands of </w:t>
      </w:r>
      <w:r w:rsidR="00B71D1B" w:rsidRPr="00AA167C">
        <w:rPr>
          <w:rFonts w:cstheme="minorHAnsi"/>
        </w:rPr>
        <w:t xml:space="preserve">some </w:t>
      </w:r>
      <w:r w:rsidRPr="00AA167C">
        <w:rPr>
          <w:rFonts w:cstheme="minorHAnsi"/>
        </w:rPr>
        <w:t>legal scholars. See Penner</w:t>
      </w:r>
      <w:r w:rsidR="002F5C8B" w:rsidRPr="00AA167C">
        <w:rPr>
          <w:rFonts w:cstheme="minorHAnsi"/>
        </w:rPr>
        <w:t xml:space="preserve"> (2020) (PRAR), 39-40</w:t>
      </w:r>
      <w:r w:rsidR="007D3160" w:rsidRPr="00AA167C">
        <w:rPr>
          <w:rFonts w:cstheme="minorHAnsi"/>
        </w:rPr>
        <w:t>; Penner 2011, 275.</w:t>
      </w:r>
    </w:p>
  </w:footnote>
  <w:footnote w:id="40">
    <w:p w14:paraId="131467CC" w14:textId="741D470E" w:rsidR="00AA543B" w:rsidRPr="00AA167C" w:rsidRDefault="00AA543B">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Gardner</w:t>
      </w:r>
      <w:r w:rsidR="00100AD6" w:rsidRPr="00AA167C">
        <w:rPr>
          <w:rFonts w:cstheme="minorHAnsi"/>
          <w:lang w:val="en-US"/>
        </w:rPr>
        <w:t xml:space="preserve"> 2018, </w:t>
      </w:r>
      <w:r w:rsidR="00F85C0E" w:rsidRPr="00AA167C">
        <w:rPr>
          <w:rFonts w:cstheme="minorHAnsi"/>
          <w:lang w:val="en-US"/>
        </w:rPr>
        <w:t>5.</w:t>
      </w:r>
    </w:p>
  </w:footnote>
  <w:footnote w:id="41">
    <w:p w14:paraId="5FCCE7FC" w14:textId="2784AF78" w:rsidR="00775836" w:rsidRPr="00AA167C" w:rsidRDefault="00775836">
      <w:pPr>
        <w:pStyle w:val="FootnoteText"/>
        <w:rPr>
          <w:rFonts w:cstheme="minorHAnsi"/>
          <w:lang w:val="en-US"/>
        </w:rPr>
      </w:pPr>
      <w:r w:rsidRPr="00AA167C">
        <w:rPr>
          <w:rStyle w:val="FootnoteReference"/>
          <w:rFonts w:cstheme="minorHAnsi"/>
        </w:rPr>
        <w:footnoteRef/>
      </w:r>
      <w:r w:rsidRPr="00AA167C">
        <w:rPr>
          <w:rFonts w:cstheme="minorHAnsi"/>
        </w:rPr>
        <w:t xml:space="preserve"> </w:t>
      </w:r>
      <w:proofErr w:type="spellStart"/>
      <w:r w:rsidRPr="00AA167C">
        <w:rPr>
          <w:rFonts w:cstheme="minorHAnsi"/>
          <w:lang w:val="en-US"/>
        </w:rPr>
        <w:t>Garder</w:t>
      </w:r>
      <w:proofErr w:type="spellEnd"/>
      <w:r w:rsidRPr="00AA167C">
        <w:rPr>
          <w:rFonts w:cstheme="minorHAnsi"/>
          <w:lang w:val="en-US"/>
        </w:rPr>
        <w:t xml:space="preserve"> 2018, 46.</w:t>
      </w:r>
    </w:p>
  </w:footnote>
  <w:footnote w:id="42">
    <w:p w14:paraId="33321B19" w14:textId="02D1139F" w:rsidR="00514D49" w:rsidRPr="00AA167C" w:rsidRDefault="00514D49">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Gardner</w:t>
      </w:r>
      <w:r w:rsidR="00124E2C" w:rsidRPr="00AA167C">
        <w:rPr>
          <w:rFonts w:cstheme="minorHAnsi"/>
          <w:lang w:val="en-US"/>
        </w:rPr>
        <w:t xml:space="preserve"> 2018</w:t>
      </w:r>
      <w:r w:rsidR="00F05F93" w:rsidRPr="00AA167C">
        <w:rPr>
          <w:rFonts w:cstheme="minorHAnsi"/>
          <w:lang w:val="en-US"/>
        </w:rPr>
        <w:t xml:space="preserve"> (FPLPL)</w:t>
      </w:r>
      <w:r w:rsidR="00124E2C" w:rsidRPr="00AA167C">
        <w:rPr>
          <w:rFonts w:cstheme="minorHAnsi"/>
          <w:lang w:val="en-US"/>
        </w:rPr>
        <w:t>, 44-46</w:t>
      </w:r>
      <w:r w:rsidR="001578ED" w:rsidRPr="00AA167C">
        <w:rPr>
          <w:rFonts w:cstheme="minorHAnsi"/>
          <w:lang w:val="en-US"/>
        </w:rPr>
        <w:t>; Gardner</w:t>
      </w:r>
      <w:r w:rsidR="00F05F93" w:rsidRPr="00AA167C">
        <w:rPr>
          <w:rFonts w:cstheme="minorHAnsi"/>
          <w:lang w:val="en-US"/>
        </w:rPr>
        <w:t xml:space="preserve"> 2018 (</w:t>
      </w:r>
      <w:proofErr w:type="spellStart"/>
      <w:r w:rsidR="00F05F93" w:rsidRPr="00AA167C">
        <w:rPr>
          <w:rFonts w:cstheme="minorHAnsi"/>
          <w:lang w:val="en-US"/>
        </w:rPr>
        <w:t>Labour</w:t>
      </w:r>
      <w:proofErr w:type="spellEnd"/>
      <w:r w:rsidR="00F05F93" w:rsidRPr="00AA167C">
        <w:rPr>
          <w:rFonts w:cstheme="minorHAnsi"/>
          <w:lang w:val="en-US"/>
        </w:rPr>
        <w:t>).</w:t>
      </w:r>
    </w:p>
  </w:footnote>
  <w:footnote w:id="43">
    <w:p w14:paraId="19CB44C6" w14:textId="1EA892D5" w:rsidR="00AA6D0D" w:rsidRPr="00AA167C" w:rsidRDefault="00AA6D0D">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rPr>
        <w:t>Dagan &amp; Heller 2017.</w:t>
      </w:r>
    </w:p>
  </w:footnote>
  <w:footnote w:id="44">
    <w:p w14:paraId="49710BBC" w14:textId="7F9345B0" w:rsidR="00877E32" w:rsidRPr="00AA167C" w:rsidRDefault="00877E32" w:rsidP="00877E32">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31104E">
        <w:rPr>
          <w:rFonts w:cstheme="minorHAnsi"/>
        </w:rPr>
        <w:t>Dagan &amp; Heller 2021.</w:t>
      </w:r>
    </w:p>
  </w:footnote>
  <w:footnote w:id="45">
    <w:p w14:paraId="63AF8208" w14:textId="18A4E42B" w:rsidR="00877E32" w:rsidRPr="00AA167C" w:rsidRDefault="00877E32" w:rsidP="00007B9F">
      <w:pPr>
        <w:jc w:val="both"/>
        <w:rPr>
          <w:rFonts w:cstheme="minorHAnsi"/>
          <w:sz w:val="20"/>
          <w:szCs w:val="20"/>
          <w:lang w:val="en-US"/>
        </w:rPr>
      </w:pPr>
      <w:r w:rsidRPr="00AA167C">
        <w:rPr>
          <w:rStyle w:val="FootnoteReference"/>
          <w:rFonts w:cstheme="minorHAnsi"/>
          <w:sz w:val="20"/>
          <w:szCs w:val="20"/>
        </w:rPr>
        <w:footnoteRef/>
      </w:r>
      <w:r w:rsidRPr="00AA167C">
        <w:rPr>
          <w:rFonts w:cstheme="minorHAnsi"/>
          <w:sz w:val="20"/>
          <w:szCs w:val="20"/>
        </w:rPr>
        <w:t xml:space="preserve"> </w:t>
      </w:r>
      <w:r w:rsidR="0031104E">
        <w:rPr>
          <w:rFonts w:cstheme="minorHAnsi"/>
          <w:sz w:val="20"/>
          <w:szCs w:val="20"/>
          <w:lang w:val="en-US"/>
        </w:rPr>
        <w:t>Dagan forthcoming.</w:t>
      </w:r>
    </w:p>
  </w:footnote>
  <w:footnote w:id="46">
    <w:p w14:paraId="6BCE7A78" w14:textId="65225182" w:rsidR="000B7BAE" w:rsidRPr="00AA167C" w:rsidRDefault="000B7BAE">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59011B" w:rsidRPr="00AA167C">
        <w:rPr>
          <w:rFonts w:cstheme="minorHAnsi"/>
          <w:lang w:val="en-US"/>
        </w:rPr>
        <w:t xml:space="preserve">See, </w:t>
      </w:r>
      <w:proofErr w:type="spellStart"/>
      <w:r w:rsidR="0059011B" w:rsidRPr="00AA167C">
        <w:rPr>
          <w:rFonts w:cstheme="minorHAnsi"/>
          <w:lang w:val="en-US"/>
        </w:rPr>
        <w:t>eg</w:t>
      </w:r>
      <w:proofErr w:type="spellEnd"/>
      <w:r w:rsidR="0059011B" w:rsidRPr="00AA167C">
        <w:rPr>
          <w:rFonts w:cstheme="minorHAnsi"/>
          <w:lang w:val="en-US"/>
        </w:rPr>
        <w:t>, Dagan &amp; Heller 2017, 1</w:t>
      </w:r>
      <w:r w:rsidR="00316880" w:rsidRPr="00AA167C">
        <w:rPr>
          <w:rFonts w:cstheme="minorHAnsi"/>
          <w:lang w:val="en-US"/>
        </w:rPr>
        <w:t>, 2,</w:t>
      </w:r>
      <w:r w:rsidR="0075597C" w:rsidRPr="00AA167C">
        <w:rPr>
          <w:rFonts w:cstheme="minorHAnsi"/>
          <w:lang w:val="en-US"/>
        </w:rPr>
        <w:t xml:space="preserve"> 16,</w:t>
      </w:r>
      <w:r w:rsidR="00063038" w:rsidRPr="00AA167C">
        <w:rPr>
          <w:rFonts w:cstheme="minorHAnsi"/>
          <w:lang w:val="en-US"/>
        </w:rPr>
        <w:t xml:space="preserve"> 35,</w:t>
      </w:r>
      <w:r w:rsidR="007C79ED" w:rsidRPr="00AA167C">
        <w:rPr>
          <w:rFonts w:cstheme="minorHAnsi"/>
          <w:lang w:val="en-US"/>
        </w:rPr>
        <w:t xml:space="preserve"> 41</w:t>
      </w:r>
      <w:r w:rsidR="005A32FD" w:rsidRPr="00AA167C">
        <w:rPr>
          <w:rFonts w:cstheme="minorHAnsi"/>
          <w:lang w:val="en-US"/>
        </w:rPr>
        <w:t>, 43</w:t>
      </w:r>
      <w:r w:rsidR="00FA7E3A" w:rsidRPr="00AA167C">
        <w:rPr>
          <w:rFonts w:cstheme="minorHAnsi"/>
          <w:lang w:val="en-US"/>
        </w:rPr>
        <w:t xml:space="preserve">; Dagan &amp; Heller 2020, </w:t>
      </w:r>
      <w:r w:rsidR="000D1D15" w:rsidRPr="00AA167C">
        <w:rPr>
          <w:rFonts w:cstheme="minorHAnsi"/>
          <w:lang w:val="en-US"/>
        </w:rPr>
        <w:t>3</w:t>
      </w:r>
      <w:r w:rsidR="0023111C" w:rsidRPr="00AA167C">
        <w:rPr>
          <w:rFonts w:cstheme="minorHAnsi"/>
          <w:lang w:val="en-US"/>
        </w:rPr>
        <w:t>, 11</w:t>
      </w:r>
      <w:r w:rsidR="00F64E0E" w:rsidRPr="00AA167C">
        <w:rPr>
          <w:rFonts w:cstheme="minorHAnsi"/>
          <w:lang w:val="en-US"/>
        </w:rPr>
        <w:t>, 18</w:t>
      </w:r>
      <w:r w:rsidR="00C91CAE" w:rsidRPr="00AA167C">
        <w:rPr>
          <w:rFonts w:cstheme="minorHAnsi"/>
          <w:lang w:val="en-US"/>
        </w:rPr>
        <w:t>, 22</w:t>
      </w:r>
      <w:r w:rsidR="003802ED" w:rsidRPr="00AA167C">
        <w:rPr>
          <w:rFonts w:cstheme="minorHAnsi"/>
          <w:lang w:val="en-US"/>
        </w:rPr>
        <w:t xml:space="preserve">; Dagan </w:t>
      </w:r>
      <w:r w:rsidR="0031104E">
        <w:rPr>
          <w:rFonts w:cstheme="minorHAnsi"/>
          <w:lang w:val="en-US"/>
        </w:rPr>
        <w:t>forthcoming</w:t>
      </w:r>
      <w:r w:rsidR="003802ED" w:rsidRPr="00AA167C">
        <w:rPr>
          <w:rFonts w:cstheme="minorHAnsi"/>
          <w:lang w:val="en-US"/>
        </w:rPr>
        <w:t xml:space="preserve">, </w:t>
      </w:r>
      <w:r w:rsidR="00CA245A" w:rsidRPr="00AA167C">
        <w:rPr>
          <w:rFonts w:cstheme="minorHAnsi"/>
          <w:lang w:val="en-US"/>
        </w:rPr>
        <w:t xml:space="preserve">18, </w:t>
      </w:r>
      <w:r w:rsidR="0026456B" w:rsidRPr="00AA167C">
        <w:rPr>
          <w:rFonts w:cstheme="minorHAnsi"/>
          <w:lang w:val="en-US"/>
        </w:rPr>
        <w:t>19</w:t>
      </w:r>
      <w:r w:rsidR="004C7825" w:rsidRPr="00AA167C">
        <w:rPr>
          <w:rFonts w:cstheme="minorHAnsi"/>
          <w:lang w:val="en-US"/>
        </w:rPr>
        <w:t>, 20</w:t>
      </w:r>
      <w:r w:rsidR="00B61C08" w:rsidRPr="00AA167C">
        <w:rPr>
          <w:rFonts w:cstheme="minorHAnsi"/>
          <w:lang w:val="en-US"/>
        </w:rPr>
        <w:t>, 22</w:t>
      </w:r>
    </w:p>
  </w:footnote>
  <w:footnote w:id="47">
    <w:p w14:paraId="3A219AFD" w14:textId="3F304848" w:rsidR="0087747A" w:rsidRPr="00AA167C" w:rsidRDefault="0087747A">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rPr>
        <w:t>Raz 1986, 375-376</w:t>
      </w:r>
      <w:r w:rsidR="00037F4B" w:rsidRPr="00AA167C">
        <w:rPr>
          <w:rFonts w:cstheme="minorHAnsi"/>
        </w:rPr>
        <w:t>.</w:t>
      </w:r>
    </w:p>
  </w:footnote>
  <w:footnote w:id="48">
    <w:p w14:paraId="61658F21" w14:textId="77777777" w:rsidR="005F56DD" w:rsidRPr="00AA167C" w:rsidRDefault="005F56DD" w:rsidP="005F56DD">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Raz 1986, 387-390.</w:t>
      </w:r>
    </w:p>
  </w:footnote>
  <w:footnote w:id="49">
    <w:p w14:paraId="3305E47C" w14:textId="13CC4CD0" w:rsidR="0035773D" w:rsidRPr="00AA167C" w:rsidRDefault="0035773D">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9E5567" w:rsidRPr="00AA167C">
        <w:rPr>
          <w:rFonts w:cstheme="minorHAnsi"/>
          <w:lang w:val="en-US"/>
        </w:rPr>
        <w:t xml:space="preserve">Raz 1986, </w:t>
      </w:r>
      <w:r w:rsidR="00490BE1" w:rsidRPr="00AA167C">
        <w:rPr>
          <w:rFonts w:cstheme="minorHAnsi"/>
          <w:lang w:val="en-US"/>
        </w:rPr>
        <w:t>207-209.</w:t>
      </w:r>
    </w:p>
  </w:footnote>
  <w:footnote w:id="50">
    <w:p w14:paraId="0DEE9404" w14:textId="3DCB28EA" w:rsidR="00243A62" w:rsidRPr="00AA167C" w:rsidRDefault="00243A62">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F74453" w:rsidRPr="00AA167C">
        <w:rPr>
          <w:rFonts w:cstheme="minorHAnsi"/>
          <w:lang w:val="en-US"/>
        </w:rPr>
        <w:t>N 23</w:t>
      </w:r>
      <w:r w:rsidRPr="00AA167C">
        <w:rPr>
          <w:rFonts w:cstheme="minorHAnsi"/>
          <w:lang w:val="en-US"/>
        </w:rPr>
        <w:t xml:space="preserve"> supra.</w:t>
      </w:r>
    </w:p>
  </w:footnote>
  <w:footnote w:id="51">
    <w:p w14:paraId="7CD9AE11" w14:textId="22B81377" w:rsidR="003C0F3F" w:rsidRPr="00AA167C" w:rsidRDefault="003C0F3F">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 xml:space="preserve">Dagan &amp; Heller 2017, </w:t>
      </w:r>
      <w:r w:rsidR="00CA1DC8" w:rsidRPr="00AA167C">
        <w:rPr>
          <w:rFonts w:cstheme="minorHAnsi"/>
          <w:lang w:val="en-US"/>
        </w:rPr>
        <w:t>42, citing Rawls</w:t>
      </w:r>
      <w:r w:rsidR="0088534A" w:rsidRPr="00AA167C">
        <w:rPr>
          <w:rFonts w:cstheme="minorHAnsi"/>
          <w:lang w:val="en-US"/>
        </w:rPr>
        <w:t xml:space="preserve"> 2001, 19</w:t>
      </w:r>
      <w:r w:rsidR="00087692" w:rsidRPr="00AA167C">
        <w:rPr>
          <w:rFonts w:cstheme="minorHAnsi"/>
          <w:lang w:val="en-US"/>
        </w:rPr>
        <w:t>; See also Dagan &amp; Heller 202</w:t>
      </w:r>
      <w:r w:rsidR="00376056">
        <w:rPr>
          <w:rFonts w:cstheme="minorHAnsi"/>
          <w:lang w:val="en-US"/>
        </w:rPr>
        <w:t>1</w:t>
      </w:r>
      <w:r w:rsidR="00087692" w:rsidRPr="00AA167C">
        <w:rPr>
          <w:rFonts w:cstheme="minorHAnsi"/>
          <w:lang w:val="en-US"/>
        </w:rPr>
        <w:t>, 22.</w:t>
      </w:r>
    </w:p>
  </w:footnote>
  <w:footnote w:id="52">
    <w:p w14:paraId="3F5B035B" w14:textId="56335F70" w:rsidR="00D81B0B" w:rsidRPr="00AA167C" w:rsidRDefault="00D81B0B">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Dagan &amp; Heller 202</w:t>
      </w:r>
      <w:r w:rsidR="00376056">
        <w:rPr>
          <w:rFonts w:cstheme="minorHAnsi"/>
          <w:lang w:val="en-US"/>
        </w:rPr>
        <w:t>1</w:t>
      </w:r>
      <w:r w:rsidRPr="00AA167C">
        <w:rPr>
          <w:rFonts w:cstheme="minorHAnsi"/>
          <w:lang w:val="en-US"/>
        </w:rPr>
        <w:t>, 11, emphasis original.</w:t>
      </w:r>
    </w:p>
  </w:footnote>
  <w:footnote w:id="53">
    <w:p w14:paraId="6D7CBFF0" w14:textId="38C3182B" w:rsidR="007122A3" w:rsidRPr="00AA167C" w:rsidRDefault="007122A3">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Dagan &amp; Heller 2017, 68.</w:t>
      </w:r>
    </w:p>
  </w:footnote>
  <w:footnote w:id="54">
    <w:p w14:paraId="4466E692" w14:textId="7747E26D" w:rsidR="000B3B3E" w:rsidRPr="00AA167C" w:rsidRDefault="000B3B3E">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Ibid, 69.</w:t>
      </w:r>
    </w:p>
  </w:footnote>
  <w:footnote w:id="55">
    <w:p w14:paraId="359D784C" w14:textId="3C0E5563" w:rsidR="002E101E" w:rsidRPr="00AA167C" w:rsidRDefault="002E101E">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0C34EA" w:rsidRPr="00AA167C">
        <w:rPr>
          <w:rFonts w:cstheme="minorHAnsi"/>
          <w:lang w:val="en-US"/>
        </w:rPr>
        <w:t>Citing Raz 1986, 162.</w:t>
      </w:r>
    </w:p>
  </w:footnote>
  <w:footnote w:id="56">
    <w:p w14:paraId="456FAEDC" w14:textId="6008A083" w:rsidR="00B46F3F" w:rsidRPr="00AA167C" w:rsidRDefault="00B46F3F">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Citing Raz</w:t>
      </w:r>
      <w:r w:rsidR="00564605" w:rsidRPr="00AA167C">
        <w:rPr>
          <w:rFonts w:cstheme="minorHAnsi"/>
          <w:lang w:val="en-US"/>
        </w:rPr>
        <w:t xml:space="preserve"> 1986, 133, 265.</w:t>
      </w:r>
    </w:p>
  </w:footnote>
  <w:footnote w:id="57">
    <w:p w14:paraId="0A94867D" w14:textId="70AD8611" w:rsidR="00285957" w:rsidRPr="00AA167C" w:rsidRDefault="00285957">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5652A2" w:rsidRPr="00AA167C">
        <w:rPr>
          <w:rFonts w:cstheme="minorHAnsi"/>
          <w:lang w:val="en-US"/>
        </w:rPr>
        <w:t>Dagan &amp; Heller</w:t>
      </w:r>
      <w:r w:rsidR="0023172F">
        <w:rPr>
          <w:rFonts w:cstheme="minorHAnsi"/>
          <w:lang w:val="en-US"/>
        </w:rPr>
        <w:t xml:space="preserve"> </w:t>
      </w:r>
      <w:r w:rsidR="002E5B8C">
        <w:rPr>
          <w:rFonts w:cstheme="minorHAnsi"/>
          <w:lang w:val="en-US"/>
        </w:rPr>
        <w:t>2017</w:t>
      </w:r>
      <w:r w:rsidRPr="00AA167C">
        <w:rPr>
          <w:rFonts w:cstheme="minorHAnsi"/>
          <w:lang w:val="en-US"/>
        </w:rPr>
        <w:t xml:space="preserve">, </w:t>
      </w:r>
      <w:r w:rsidR="000D0253" w:rsidRPr="00AA167C">
        <w:rPr>
          <w:rFonts w:cstheme="minorHAnsi"/>
          <w:lang w:val="en-US"/>
        </w:rPr>
        <w:t>72.</w:t>
      </w:r>
    </w:p>
  </w:footnote>
  <w:footnote w:id="58">
    <w:p w14:paraId="3E3824D2" w14:textId="4489B4EE" w:rsidR="007A79BE" w:rsidRPr="00AA167C" w:rsidRDefault="007A79BE">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Dagan 2021, 21</w:t>
      </w:r>
      <w:r w:rsidR="00E34CF4" w:rsidRPr="00AA167C">
        <w:rPr>
          <w:rFonts w:cstheme="minorHAnsi"/>
          <w:lang w:val="en-US"/>
        </w:rPr>
        <w:t>, my italics.</w:t>
      </w:r>
      <w:r w:rsidR="001474CA">
        <w:rPr>
          <w:rFonts w:cstheme="minorHAnsi"/>
          <w:lang w:val="en-US"/>
        </w:rPr>
        <w:t xml:space="preserve"> See also the extensive consideration of particular contract doctrines in </w:t>
      </w:r>
      <w:r w:rsidR="00382AF6">
        <w:rPr>
          <w:rFonts w:cstheme="minorHAnsi"/>
          <w:lang w:val="en-US"/>
        </w:rPr>
        <w:t xml:space="preserve">Heller &amp; Dagan 2020. </w:t>
      </w:r>
    </w:p>
  </w:footnote>
  <w:footnote w:id="59">
    <w:p w14:paraId="147DC90E" w14:textId="20A2ACF3" w:rsidR="00FE38A1" w:rsidRPr="002A00BB" w:rsidRDefault="00FE38A1">
      <w:pPr>
        <w:pStyle w:val="FootnoteText"/>
        <w:rPr>
          <w:lang w:val="en-US"/>
        </w:rPr>
      </w:pPr>
      <w:r>
        <w:rPr>
          <w:rStyle w:val="FootnoteReference"/>
        </w:rPr>
        <w:footnoteRef/>
      </w:r>
      <w:r>
        <w:t xml:space="preserve"> </w:t>
      </w:r>
      <w:r w:rsidR="004543FB">
        <w:rPr>
          <w:rFonts w:cstheme="minorHAnsi"/>
          <w:lang w:val="en-US"/>
        </w:rPr>
        <w:t>It may be that with respect to questions of doctrine,</w:t>
      </w:r>
      <w:r w:rsidR="00EC1171">
        <w:rPr>
          <w:rFonts w:cstheme="minorHAnsi"/>
          <w:lang w:val="en-US"/>
        </w:rPr>
        <w:t xml:space="preserve"> in particular doctrines which span contract types, like the basic </w:t>
      </w:r>
      <w:r w:rsidR="00607A09">
        <w:rPr>
          <w:rFonts w:cstheme="minorHAnsi"/>
          <w:lang w:val="en-US"/>
        </w:rPr>
        <w:t xml:space="preserve">principle of ‘voluntariness’ that Dagan and Heller identify (Dagan &amp; Heller </w:t>
      </w:r>
      <w:r w:rsidR="00520A75">
        <w:rPr>
          <w:rFonts w:cstheme="minorHAnsi"/>
          <w:lang w:val="en-US"/>
        </w:rPr>
        <w:t>2017, 82-83)</w:t>
      </w:r>
      <w:r w:rsidR="00E247B8">
        <w:rPr>
          <w:rFonts w:cstheme="minorHAnsi"/>
          <w:lang w:val="en-US"/>
        </w:rPr>
        <w:t>, ‘</w:t>
      </w:r>
      <w:r w:rsidR="004543FB">
        <w:rPr>
          <w:rFonts w:cstheme="minorHAnsi"/>
          <w:lang w:val="en-US"/>
        </w:rPr>
        <w:t>choice theory’ is an independent critique of transfer theory, which requires accounting for non-type specific contractual doctrines, for example Dagan’s and Heller’s claim that specific performance is an exceptional remedy; see Dagan and Heller 202</w:t>
      </w:r>
      <w:r w:rsidR="00C05AFA">
        <w:rPr>
          <w:rFonts w:cstheme="minorHAnsi"/>
          <w:lang w:val="en-US"/>
        </w:rPr>
        <w:t>1</w:t>
      </w:r>
      <w:r w:rsidR="004543FB">
        <w:rPr>
          <w:rFonts w:cstheme="minorHAnsi"/>
          <w:lang w:val="en-US"/>
        </w:rPr>
        <w:t xml:space="preserve">, 10-12. Even so, besides setting out broad categories of contractual spheres or contexts (Dagan &amp; Heller 2017, </w:t>
      </w:r>
      <w:proofErr w:type="spellStart"/>
      <w:r w:rsidR="004543FB">
        <w:rPr>
          <w:rFonts w:cstheme="minorHAnsi"/>
          <w:lang w:val="en-US"/>
        </w:rPr>
        <w:t>ch</w:t>
      </w:r>
      <w:proofErr w:type="spellEnd"/>
      <w:r w:rsidR="004543FB">
        <w:rPr>
          <w:rFonts w:cstheme="minorHAnsi"/>
          <w:lang w:val="en-US"/>
        </w:rPr>
        <w:t xml:space="preserve"> 9) within which any contract would be a type within that sphere, I have not been able to find any clear criteria which distinguish one type </w:t>
      </w:r>
      <w:r w:rsidR="00642923">
        <w:rPr>
          <w:rFonts w:cstheme="minorHAnsi"/>
          <w:lang w:val="en-US"/>
        </w:rPr>
        <w:t xml:space="preserve">within that sphere </w:t>
      </w:r>
      <w:r w:rsidR="004543FB">
        <w:rPr>
          <w:rFonts w:cstheme="minorHAnsi"/>
          <w:lang w:val="en-US"/>
        </w:rPr>
        <w:t>from another.</w:t>
      </w:r>
      <w:r w:rsidR="00BB64E3">
        <w:rPr>
          <w:rFonts w:cstheme="minorHAnsi"/>
          <w:lang w:val="en-US"/>
        </w:rPr>
        <w:t xml:space="preserve"> </w:t>
      </w:r>
      <w:r w:rsidR="00F06B06">
        <w:rPr>
          <w:rFonts w:cstheme="minorHAnsi"/>
          <w:lang w:val="en-US"/>
        </w:rPr>
        <w:t xml:space="preserve">Dagan and Heller do provide us with </w:t>
      </w:r>
      <w:r w:rsidR="00F06B06">
        <w:rPr>
          <w:rFonts w:cstheme="minorHAnsi"/>
          <w:i/>
          <w:iCs/>
          <w:lang w:val="en-US"/>
        </w:rPr>
        <w:t xml:space="preserve">examples </w:t>
      </w:r>
      <w:r w:rsidR="002A00BB">
        <w:rPr>
          <w:rFonts w:cstheme="minorHAnsi"/>
          <w:lang w:val="en-US"/>
        </w:rPr>
        <w:t xml:space="preserve">of distinct types within a sphere, which I assume we are intuitively to understand to be different types, as with, for example </w:t>
      </w:r>
      <w:r w:rsidR="005901FD">
        <w:rPr>
          <w:rFonts w:cstheme="minorHAnsi"/>
          <w:lang w:val="en-US"/>
        </w:rPr>
        <w:t xml:space="preserve">the employer-employee contract type and the independent contractor type within the sphere of </w:t>
      </w:r>
      <w:r w:rsidR="004E060E">
        <w:rPr>
          <w:rFonts w:cstheme="minorHAnsi"/>
          <w:lang w:val="en-US"/>
        </w:rPr>
        <w:t xml:space="preserve">work relations (Id, </w:t>
      </w:r>
      <w:r w:rsidR="007B4B86">
        <w:rPr>
          <w:rFonts w:cstheme="minorHAnsi"/>
          <w:lang w:val="en-US"/>
        </w:rPr>
        <w:t>70-71).</w:t>
      </w:r>
    </w:p>
  </w:footnote>
  <w:footnote w:id="60">
    <w:p w14:paraId="62251BD9" w14:textId="2D12AFFC" w:rsidR="0009657D" w:rsidRPr="0009657D" w:rsidRDefault="0009657D">
      <w:pPr>
        <w:pStyle w:val="FootnoteText"/>
        <w:rPr>
          <w:lang w:val="en-US"/>
        </w:rPr>
      </w:pPr>
      <w:r>
        <w:rPr>
          <w:rStyle w:val="FootnoteReference"/>
        </w:rPr>
        <w:footnoteRef/>
      </w:r>
      <w:r>
        <w:t xml:space="preserve"> </w:t>
      </w:r>
      <w:r w:rsidR="00476BCB">
        <w:rPr>
          <w:lang w:val="en-US"/>
        </w:rPr>
        <w:t>N 56 supra.</w:t>
      </w:r>
    </w:p>
  </w:footnote>
  <w:footnote w:id="61">
    <w:p w14:paraId="081CA722" w14:textId="478D5429" w:rsidR="00B75A35" w:rsidRPr="00B75A35" w:rsidRDefault="00B75A35">
      <w:pPr>
        <w:pStyle w:val="FootnoteText"/>
        <w:rPr>
          <w:lang w:val="en-US"/>
        </w:rPr>
      </w:pPr>
      <w:r>
        <w:rPr>
          <w:rStyle w:val="FootnoteReference"/>
        </w:rPr>
        <w:footnoteRef/>
      </w:r>
      <w:r>
        <w:t xml:space="preserve"> </w:t>
      </w:r>
      <w:r>
        <w:rPr>
          <w:lang w:val="en-US"/>
        </w:rPr>
        <w:t>N 6, supra.</w:t>
      </w:r>
    </w:p>
  </w:footnote>
  <w:footnote w:id="62">
    <w:p w14:paraId="36663C51" w14:textId="4C72C752" w:rsidR="00191D58" w:rsidRPr="00CE4C33" w:rsidRDefault="00191D58">
      <w:pPr>
        <w:pStyle w:val="FootnoteText"/>
        <w:rPr>
          <w:lang w:val="en-US"/>
        </w:rPr>
      </w:pPr>
      <w:r>
        <w:rPr>
          <w:rStyle w:val="FootnoteReference"/>
        </w:rPr>
        <w:footnoteRef/>
      </w:r>
      <w:r>
        <w:t xml:space="preserve"> </w:t>
      </w:r>
      <w:r>
        <w:rPr>
          <w:lang w:val="en-US"/>
        </w:rPr>
        <w:t xml:space="preserve">I am not, of course, denying that </w:t>
      </w:r>
      <w:r>
        <w:rPr>
          <w:i/>
          <w:iCs/>
          <w:lang w:val="en-US"/>
        </w:rPr>
        <w:t>de facto</w:t>
      </w:r>
      <w:r>
        <w:rPr>
          <w:lang w:val="en-US"/>
        </w:rPr>
        <w:t xml:space="preserve"> segregation, as in schooling </w:t>
      </w:r>
      <w:r w:rsidR="00CE4C33">
        <w:rPr>
          <w:lang w:val="en-US"/>
        </w:rPr>
        <w:t xml:space="preserve">and housing, does not persist in the US, nor denying that there remains some </w:t>
      </w:r>
      <w:r w:rsidR="00CE4C33">
        <w:rPr>
          <w:i/>
          <w:iCs/>
          <w:lang w:val="en-US"/>
        </w:rPr>
        <w:t>de jure</w:t>
      </w:r>
      <w:r w:rsidR="00CE4C33">
        <w:rPr>
          <w:lang w:val="en-US"/>
        </w:rPr>
        <w:t xml:space="preserve"> segregation</w:t>
      </w:r>
      <w:r w:rsidR="00025320">
        <w:rPr>
          <w:lang w:val="en-US"/>
        </w:rPr>
        <w:t xml:space="preserve"> (on which I am not competent to comment) –the point is that this remaining segregation, however extensive, is not what the segregationist is after</w:t>
      </w:r>
      <w:r w:rsidR="00132578">
        <w:rPr>
          <w:lang w:val="en-US"/>
        </w:rPr>
        <w:t xml:space="preserve">, except </w:t>
      </w:r>
      <w:r w:rsidR="00132578" w:rsidRPr="00B94EA9">
        <w:rPr>
          <w:i/>
          <w:iCs/>
          <w:lang w:val="en-US"/>
        </w:rPr>
        <w:t xml:space="preserve">faut de </w:t>
      </w:r>
      <w:proofErr w:type="spellStart"/>
      <w:r w:rsidR="00132578" w:rsidRPr="00B94EA9">
        <w:rPr>
          <w:i/>
          <w:iCs/>
          <w:lang w:val="en-US"/>
        </w:rPr>
        <w:t>mieux</w:t>
      </w:r>
      <w:proofErr w:type="spellEnd"/>
      <w:r w:rsidR="00132578">
        <w:rPr>
          <w:lang w:val="en-US"/>
        </w:rPr>
        <w:t>.</w:t>
      </w:r>
    </w:p>
  </w:footnote>
  <w:footnote w:id="63">
    <w:p w14:paraId="608CEE63" w14:textId="50E0A67C" w:rsidR="009C4A0B" w:rsidRPr="00AA167C" w:rsidRDefault="009C4A0B">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4E2FE6" w:rsidRPr="00AA167C">
        <w:rPr>
          <w:rFonts w:cstheme="minorHAnsi"/>
          <w:lang w:val="en-US"/>
        </w:rPr>
        <w:t xml:space="preserve">See, </w:t>
      </w:r>
      <w:proofErr w:type="spellStart"/>
      <w:r w:rsidR="004E2FE6" w:rsidRPr="00AA167C">
        <w:rPr>
          <w:rFonts w:cstheme="minorHAnsi"/>
          <w:lang w:val="en-US"/>
        </w:rPr>
        <w:t>eg</w:t>
      </w:r>
      <w:proofErr w:type="spellEnd"/>
      <w:r w:rsidR="004E2FE6" w:rsidRPr="00AA167C">
        <w:rPr>
          <w:rFonts w:cstheme="minorHAnsi"/>
          <w:lang w:val="en-US"/>
        </w:rPr>
        <w:t>, Gardner 2018</w:t>
      </w:r>
      <w:r w:rsidR="00FB0F55" w:rsidRPr="00AA167C">
        <w:rPr>
          <w:rFonts w:cstheme="minorHAnsi"/>
          <w:lang w:val="en-US"/>
        </w:rPr>
        <w:t xml:space="preserve">, 183-184, 195-196, </w:t>
      </w:r>
      <w:r w:rsidR="005E7629" w:rsidRPr="00AA167C">
        <w:rPr>
          <w:rFonts w:cstheme="minorHAnsi"/>
          <w:lang w:val="en-US"/>
        </w:rPr>
        <w:t>199.</w:t>
      </w:r>
    </w:p>
  </w:footnote>
  <w:footnote w:id="64">
    <w:p w14:paraId="264CD9E8" w14:textId="49D0C3EF" w:rsidR="000D4F20" w:rsidRPr="00AA167C" w:rsidRDefault="000D4F20">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Pr="00AA167C">
        <w:rPr>
          <w:rFonts w:cstheme="minorHAnsi"/>
          <w:lang w:val="en-US"/>
        </w:rPr>
        <w:t>Penner, forthcoming</w:t>
      </w:r>
      <w:r w:rsidR="00912980" w:rsidRPr="00AA167C">
        <w:rPr>
          <w:rFonts w:cstheme="minorHAnsi"/>
          <w:lang w:val="en-US"/>
        </w:rPr>
        <w:t xml:space="preserve"> 2021</w:t>
      </w:r>
      <w:r w:rsidR="00973329" w:rsidRPr="00AA167C">
        <w:rPr>
          <w:rFonts w:cstheme="minorHAnsi"/>
          <w:lang w:val="en-US"/>
        </w:rPr>
        <w:t>.</w:t>
      </w:r>
    </w:p>
  </w:footnote>
  <w:footnote w:id="65">
    <w:p w14:paraId="0E53CF79" w14:textId="6ED3755A" w:rsidR="00C178D1" w:rsidRPr="00AA167C" w:rsidRDefault="00C178D1">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384497" w:rsidRPr="00AA167C">
        <w:rPr>
          <w:rFonts w:cstheme="minorHAnsi"/>
          <w:lang w:val="en-US"/>
        </w:rPr>
        <w:t>Lionel Smith coined the term; see Smith 2017.</w:t>
      </w:r>
    </w:p>
  </w:footnote>
  <w:footnote w:id="66">
    <w:p w14:paraId="1DCEB40F" w14:textId="42174CFF" w:rsidR="00CB6664" w:rsidRPr="00AA167C" w:rsidRDefault="00CB6664">
      <w:pPr>
        <w:pStyle w:val="FootnoteText"/>
        <w:rPr>
          <w:rFonts w:cstheme="minorHAnsi"/>
          <w:lang w:val="en-US"/>
        </w:rPr>
      </w:pPr>
      <w:r w:rsidRPr="00AA167C">
        <w:rPr>
          <w:rStyle w:val="FootnoteReference"/>
          <w:rFonts w:cstheme="minorHAnsi"/>
        </w:rPr>
        <w:footnoteRef/>
      </w:r>
      <w:r w:rsidRPr="00AA167C">
        <w:rPr>
          <w:rFonts w:cstheme="minorHAnsi"/>
        </w:rPr>
        <w:t xml:space="preserve"> </w:t>
      </w:r>
      <w:r w:rsidR="00C32DFD" w:rsidRPr="00AA167C">
        <w:rPr>
          <w:rFonts w:cstheme="minorHAnsi"/>
          <w:lang w:val="en-US"/>
        </w:rPr>
        <w:t xml:space="preserve">A claim of this kind with respect to Dagan </w:t>
      </w:r>
      <w:r w:rsidR="00CE1E68" w:rsidRPr="00AA167C">
        <w:rPr>
          <w:rFonts w:cstheme="minorHAnsi"/>
          <w:lang w:val="en-US"/>
        </w:rPr>
        <w:t xml:space="preserve">&amp; </w:t>
      </w:r>
      <w:r w:rsidR="00C32DFD" w:rsidRPr="00AA167C">
        <w:rPr>
          <w:rFonts w:cstheme="minorHAnsi"/>
          <w:lang w:val="en-US"/>
        </w:rPr>
        <w:t>Heller 2017 was made by Ripstein</w:t>
      </w:r>
      <w:r w:rsidR="00E82DA6" w:rsidRPr="00AA167C">
        <w:rPr>
          <w:rFonts w:cstheme="minorHAnsi"/>
          <w:lang w:val="en-US"/>
        </w:rPr>
        <w:t xml:space="preserve"> 2020, </w:t>
      </w:r>
      <w:r w:rsidR="005A4A69" w:rsidRPr="00AA167C">
        <w:rPr>
          <w:rFonts w:cstheme="minorHAnsi"/>
          <w:lang w:val="en-US"/>
        </w:rPr>
        <w:t xml:space="preserve">19-26; </w:t>
      </w:r>
      <w:r w:rsidR="00240A69" w:rsidRPr="00AA167C">
        <w:rPr>
          <w:rFonts w:cstheme="minorHAnsi"/>
          <w:lang w:val="en-US"/>
        </w:rPr>
        <w:t>for their reply see Dagan &amp; Heller 2020, 20-</w:t>
      </w:r>
      <w:r w:rsidR="009314B2" w:rsidRPr="00AA167C">
        <w:rPr>
          <w:rFonts w:cstheme="minorHAnsi"/>
          <w:lang w:val="en-US"/>
        </w:rPr>
        <w:t>24</w:t>
      </w:r>
      <w:r w:rsidR="00BA04E1">
        <w:rPr>
          <w:rFonts w:cstheme="minorHAnsi"/>
          <w:lang w:val="en-US"/>
        </w:rPr>
        <w:t>, and</w:t>
      </w:r>
      <w:r w:rsidR="00C341C3">
        <w:rPr>
          <w:rFonts w:cstheme="minorHAnsi"/>
          <w:lang w:val="en-US"/>
        </w:rPr>
        <w:t xml:space="preserve"> see also 5-7.</w:t>
      </w:r>
      <w:r w:rsidR="00CE1E68" w:rsidRPr="00AA167C">
        <w:rPr>
          <w:rFonts w:cstheme="minorHAnsi"/>
          <w:lang w:val="en-US"/>
        </w:rPr>
        <w:t xml:space="preserve"> I shall not adjudicate this dispute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6565835"/>
      <w:docPartObj>
        <w:docPartGallery w:val="Page Numbers (Top of Page)"/>
        <w:docPartUnique/>
      </w:docPartObj>
    </w:sdtPr>
    <w:sdtEndPr>
      <w:rPr>
        <w:rStyle w:val="PageNumber"/>
      </w:rPr>
    </w:sdtEndPr>
    <w:sdtContent>
      <w:p w14:paraId="45B78786" w14:textId="4E0CB68A" w:rsidR="00D07CBC" w:rsidRDefault="00D07CBC" w:rsidP="00A7723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196957" w14:textId="77777777" w:rsidR="001F5F09" w:rsidRDefault="001F5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450225"/>
      <w:docPartObj>
        <w:docPartGallery w:val="Page Numbers (Top of Page)"/>
        <w:docPartUnique/>
      </w:docPartObj>
    </w:sdtPr>
    <w:sdtEndPr>
      <w:rPr>
        <w:rStyle w:val="PageNumber"/>
      </w:rPr>
    </w:sdtEndPr>
    <w:sdtContent>
      <w:p w14:paraId="55D06EDA" w14:textId="3338B551" w:rsidR="00D07CBC" w:rsidRDefault="00D07CBC" w:rsidP="00A7723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E4D998" w14:textId="6EDAB154" w:rsidR="00DA3A34" w:rsidRDefault="00DA3A34">
    <w:pPr>
      <w:pStyle w:val="Header"/>
    </w:pPr>
  </w:p>
  <w:p w14:paraId="75CB4267" w14:textId="08C64895" w:rsidR="001F5F09" w:rsidRDefault="001F5F09">
    <w:pPr>
      <w:pStyle w:val="Header"/>
    </w:pPr>
  </w:p>
  <w:p w14:paraId="39DB397F" w14:textId="77777777" w:rsidR="00DA3A34" w:rsidRDefault="00DA3A34">
    <w:pPr>
      <w:pStyle w:val="Header"/>
    </w:pPr>
  </w:p>
  <w:p w14:paraId="253FDFA4" w14:textId="77777777" w:rsidR="001F5F09" w:rsidRDefault="001F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6E4"/>
    <w:multiLevelType w:val="hybridMultilevel"/>
    <w:tmpl w:val="00CE3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E7E3F"/>
    <w:multiLevelType w:val="hybridMultilevel"/>
    <w:tmpl w:val="00CE3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41871"/>
    <w:multiLevelType w:val="hybridMultilevel"/>
    <w:tmpl w:val="3DEAB7CE"/>
    <w:lvl w:ilvl="0" w:tplc="7D8E4D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3487E06"/>
    <w:multiLevelType w:val="hybridMultilevel"/>
    <w:tmpl w:val="069C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34DEB"/>
    <w:multiLevelType w:val="hybridMultilevel"/>
    <w:tmpl w:val="C4F2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C72A3"/>
    <w:multiLevelType w:val="hybridMultilevel"/>
    <w:tmpl w:val="EC66AC24"/>
    <w:lvl w:ilvl="0" w:tplc="6D06EA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F2F141C"/>
    <w:multiLevelType w:val="hybridMultilevel"/>
    <w:tmpl w:val="45287644"/>
    <w:lvl w:ilvl="0" w:tplc="6BB8D3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x5az008zxe02errx2pfpwzxepav59dtadr&quot;&gt;My EndNote Library JEP 2021&lt;record-ids&gt;&lt;item&gt;1&lt;/item&gt;&lt;item&gt;2&lt;/item&gt;&lt;item&gt;5&lt;/item&gt;&lt;item&gt;6&lt;/item&gt;&lt;item&gt;7&lt;/item&gt;&lt;item&gt;8&lt;/item&gt;&lt;item&gt;9&lt;/item&gt;&lt;/record-ids&gt;&lt;/item&gt;&lt;/Libraries&gt;"/>
  </w:docVars>
  <w:rsids>
    <w:rsidRoot w:val="0008529B"/>
    <w:rsid w:val="0000299E"/>
    <w:rsid w:val="0000360B"/>
    <w:rsid w:val="000077D6"/>
    <w:rsid w:val="00007B9F"/>
    <w:rsid w:val="00012AB9"/>
    <w:rsid w:val="00013D0D"/>
    <w:rsid w:val="000148E0"/>
    <w:rsid w:val="000149F5"/>
    <w:rsid w:val="00021C44"/>
    <w:rsid w:val="000229C6"/>
    <w:rsid w:val="0002305F"/>
    <w:rsid w:val="00024959"/>
    <w:rsid w:val="00024CF9"/>
    <w:rsid w:val="00025320"/>
    <w:rsid w:val="00026986"/>
    <w:rsid w:val="000305F2"/>
    <w:rsid w:val="000305FB"/>
    <w:rsid w:val="000317B0"/>
    <w:rsid w:val="000363BC"/>
    <w:rsid w:val="00037E18"/>
    <w:rsid w:val="00037F4B"/>
    <w:rsid w:val="000412EE"/>
    <w:rsid w:val="00041DCA"/>
    <w:rsid w:val="0004657B"/>
    <w:rsid w:val="00050CF1"/>
    <w:rsid w:val="00053C51"/>
    <w:rsid w:val="0005497E"/>
    <w:rsid w:val="000571A0"/>
    <w:rsid w:val="000575EA"/>
    <w:rsid w:val="000602F5"/>
    <w:rsid w:val="000608FF"/>
    <w:rsid w:val="000609FC"/>
    <w:rsid w:val="00063038"/>
    <w:rsid w:val="000638F1"/>
    <w:rsid w:val="00070D79"/>
    <w:rsid w:val="00075B10"/>
    <w:rsid w:val="000768C6"/>
    <w:rsid w:val="000770AE"/>
    <w:rsid w:val="00077BF1"/>
    <w:rsid w:val="00080DA4"/>
    <w:rsid w:val="00084B47"/>
    <w:rsid w:val="0008529B"/>
    <w:rsid w:val="00087692"/>
    <w:rsid w:val="00090F11"/>
    <w:rsid w:val="000927A3"/>
    <w:rsid w:val="0009657D"/>
    <w:rsid w:val="000A0E2D"/>
    <w:rsid w:val="000A2C03"/>
    <w:rsid w:val="000A3A52"/>
    <w:rsid w:val="000A481D"/>
    <w:rsid w:val="000A488E"/>
    <w:rsid w:val="000A5608"/>
    <w:rsid w:val="000A6A65"/>
    <w:rsid w:val="000A75D0"/>
    <w:rsid w:val="000B11F7"/>
    <w:rsid w:val="000B3B3E"/>
    <w:rsid w:val="000B5B03"/>
    <w:rsid w:val="000B793C"/>
    <w:rsid w:val="000B7BAE"/>
    <w:rsid w:val="000C07B5"/>
    <w:rsid w:val="000C24F7"/>
    <w:rsid w:val="000C298B"/>
    <w:rsid w:val="000C34EA"/>
    <w:rsid w:val="000C4574"/>
    <w:rsid w:val="000C615B"/>
    <w:rsid w:val="000C7371"/>
    <w:rsid w:val="000D0208"/>
    <w:rsid w:val="000D0253"/>
    <w:rsid w:val="000D0FE7"/>
    <w:rsid w:val="000D1D15"/>
    <w:rsid w:val="000D4F20"/>
    <w:rsid w:val="000D5808"/>
    <w:rsid w:val="000E22AA"/>
    <w:rsid w:val="000E2817"/>
    <w:rsid w:val="000E4B7F"/>
    <w:rsid w:val="000E5BB4"/>
    <w:rsid w:val="000E74C2"/>
    <w:rsid w:val="000F12E0"/>
    <w:rsid w:val="000F136D"/>
    <w:rsid w:val="000F2543"/>
    <w:rsid w:val="000F2713"/>
    <w:rsid w:val="000F2815"/>
    <w:rsid w:val="000F2DE8"/>
    <w:rsid w:val="000F377E"/>
    <w:rsid w:val="000F3CF2"/>
    <w:rsid w:val="000F3EE0"/>
    <w:rsid w:val="000F6A79"/>
    <w:rsid w:val="000F70E7"/>
    <w:rsid w:val="000F77FF"/>
    <w:rsid w:val="00100AD6"/>
    <w:rsid w:val="001060E4"/>
    <w:rsid w:val="001132C2"/>
    <w:rsid w:val="001151BE"/>
    <w:rsid w:val="0011568A"/>
    <w:rsid w:val="00115916"/>
    <w:rsid w:val="00115B01"/>
    <w:rsid w:val="00115C09"/>
    <w:rsid w:val="00117497"/>
    <w:rsid w:val="001211EF"/>
    <w:rsid w:val="001216AE"/>
    <w:rsid w:val="001223BB"/>
    <w:rsid w:val="00124E2C"/>
    <w:rsid w:val="00126E44"/>
    <w:rsid w:val="00127A8D"/>
    <w:rsid w:val="00130218"/>
    <w:rsid w:val="00130433"/>
    <w:rsid w:val="00132578"/>
    <w:rsid w:val="00134245"/>
    <w:rsid w:val="00134347"/>
    <w:rsid w:val="0013531D"/>
    <w:rsid w:val="001379D3"/>
    <w:rsid w:val="00141585"/>
    <w:rsid w:val="00144C56"/>
    <w:rsid w:val="00144CFC"/>
    <w:rsid w:val="00144FBE"/>
    <w:rsid w:val="00146989"/>
    <w:rsid w:val="001474CA"/>
    <w:rsid w:val="0015530C"/>
    <w:rsid w:val="0015530D"/>
    <w:rsid w:val="001578ED"/>
    <w:rsid w:val="0015793A"/>
    <w:rsid w:val="00157D19"/>
    <w:rsid w:val="00157D47"/>
    <w:rsid w:val="0016093B"/>
    <w:rsid w:val="00162EF5"/>
    <w:rsid w:val="001637E4"/>
    <w:rsid w:val="00164960"/>
    <w:rsid w:val="00164A1C"/>
    <w:rsid w:val="001650FA"/>
    <w:rsid w:val="00166446"/>
    <w:rsid w:val="00171271"/>
    <w:rsid w:val="001716A1"/>
    <w:rsid w:val="00171F41"/>
    <w:rsid w:val="00173F22"/>
    <w:rsid w:val="00175BA2"/>
    <w:rsid w:val="00175EA7"/>
    <w:rsid w:val="001800EA"/>
    <w:rsid w:val="0018068F"/>
    <w:rsid w:val="00180A22"/>
    <w:rsid w:val="00181FBD"/>
    <w:rsid w:val="001878DA"/>
    <w:rsid w:val="001917A1"/>
    <w:rsid w:val="00191CB2"/>
    <w:rsid w:val="00191D58"/>
    <w:rsid w:val="00191FC5"/>
    <w:rsid w:val="00193716"/>
    <w:rsid w:val="001959E1"/>
    <w:rsid w:val="00197CBA"/>
    <w:rsid w:val="001A6B55"/>
    <w:rsid w:val="001B013D"/>
    <w:rsid w:val="001B0B79"/>
    <w:rsid w:val="001B5C2D"/>
    <w:rsid w:val="001B5DE9"/>
    <w:rsid w:val="001C5E88"/>
    <w:rsid w:val="001C7654"/>
    <w:rsid w:val="001D4BBE"/>
    <w:rsid w:val="001D54D3"/>
    <w:rsid w:val="001E3881"/>
    <w:rsid w:val="001E3E44"/>
    <w:rsid w:val="001E3FEC"/>
    <w:rsid w:val="001E5AFC"/>
    <w:rsid w:val="001E5F2B"/>
    <w:rsid w:val="001E7280"/>
    <w:rsid w:val="001F039C"/>
    <w:rsid w:val="001F12DB"/>
    <w:rsid w:val="001F25F8"/>
    <w:rsid w:val="001F522D"/>
    <w:rsid w:val="001F5F09"/>
    <w:rsid w:val="002006CD"/>
    <w:rsid w:val="00202D31"/>
    <w:rsid w:val="00202ECD"/>
    <w:rsid w:val="00203E81"/>
    <w:rsid w:val="00206618"/>
    <w:rsid w:val="00210089"/>
    <w:rsid w:val="0021196D"/>
    <w:rsid w:val="00211B65"/>
    <w:rsid w:val="00213548"/>
    <w:rsid w:val="00215096"/>
    <w:rsid w:val="002154C3"/>
    <w:rsid w:val="00215E18"/>
    <w:rsid w:val="0021674F"/>
    <w:rsid w:val="00223858"/>
    <w:rsid w:val="00224409"/>
    <w:rsid w:val="002302B9"/>
    <w:rsid w:val="0023111C"/>
    <w:rsid w:val="0023162A"/>
    <w:rsid w:val="0023172F"/>
    <w:rsid w:val="00231ACD"/>
    <w:rsid w:val="002325EB"/>
    <w:rsid w:val="00234FD8"/>
    <w:rsid w:val="00235317"/>
    <w:rsid w:val="00236F9B"/>
    <w:rsid w:val="00237091"/>
    <w:rsid w:val="00240A69"/>
    <w:rsid w:val="0024177D"/>
    <w:rsid w:val="00242337"/>
    <w:rsid w:val="00243A62"/>
    <w:rsid w:val="00245AE6"/>
    <w:rsid w:val="0024700D"/>
    <w:rsid w:val="00247B4D"/>
    <w:rsid w:val="00250357"/>
    <w:rsid w:val="00250772"/>
    <w:rsid w:val="00250EBD"/>
    <w:rsid w:val="00255CB4"/>
    <w:rsid w:val="00257B44"/>
    <w:rsid w:val="00260E31"/>
    <w:rsid w:val="002618FE"/>
    <w:rsid w:val="00261C9B"/>
    <w:rsid w:val="0026456B"/>
    <w:rsid w:val="00265612"/>
    <w:rsid w:val="00267088"/>
    <w:rsid w:val="002701AB"/>
    <w:rsid w:val="00274F19"/>
    <w:rsid w:val="0027523A"/>
    <w:rsid w:val="00275C38"/>
    <w:rsid w:val="00277707"/>
    <w:rsid w:val="00280770"/>
    <w:rsid w:val="002828F6"/>
    <w:rsid w:val="00282C46"/>
    <w:rsid w:val="002837BF"/>
    <w:rsid w:val="00283F86"/>
    <w:rsid w:val="002842A7"/>
    <w:rsid w:val="00284659"/>
    <w:rsid w:val="00285957"/>
    <w:rsid w:val="00287D07"/>
    <w:rsid w:val="00290027"/>
    <w:rsid w:val="002959BB"/>
    <w:rsid w:val="00296D30"/>
    <w:rsid w:val="002973CF"/>
    <w:rsid w:val="002A00BB"/>
    <w:rsid w:val="002A143E"/>
    <w:rsid w:val="002A31D8"/>
    <w:rsid w:val="002A451B"/>
    <w:rsid w:val="002A569C"/>
    <w:rsid w:val="002A68B8"/>
    <w:rsid w:val="002A6F21"/>
    <w:rsid w:val="002A7A43"/>
    <w:rsid w:val="002B1599"/>
    <w:rsid w:val="002B1B1B"/>
    <w:rsid w:val="002B243D"/>
    <w:rsid w:val="002B3858"/>
    <w:rsid w:val="002B3B5D"/>
    <w:rsid w:val="002B4BE0"/>
    <w:rsid w:val="002B6318"/>
    <w:rsid w:val="002C40EB"/>
    <w:rsid w:val="002C4275"/>
    <w:rsid w:val="002C784D"/>
    <w:rsid w:val="002D01A4"/>
    <w:rsid w:val="002D24BB"/>
    <w:rsid w:val="002D29CD"/>
    <w:rsid w:val="002D30E5"/>
    <w:rsid w:val="002D5973"/>
    <w:rsid w:val="002D6956"/>
    <w:rsid w:val="002D6EF4"/>
    <w:rsid w:val="002E0699"/>
    <w:rsid w:val="002E0980"/>
    <w:rsid w:val="002E101E"/>
    <w:rsid w:val="002E1D2B"/>
    <w:rsid w:val="002E2ED0"/>
    <w:rsid w:val="002E52B5"/>
    <w:rsid w:val="002E5B8C"/>
    <w:rsid w:val="002E6DFF"/>
    <w:rsid w:val="002F26C9"/>
    <w:rsid w:val="002F282B"/>
    <w:rsid w:val="002F3F69"/>
    <w:rsid w:val="002F4DF6"/>
    <w:rsid w:val="002F5C8B"/>
    <w:rsid w:val="002F6AD5"/>
    <w:rsid w:val="002F7275"/>
    <w:rsid w:val="002F7A38"/>
    <w:rsid w:val="00300A04"/>
    <w:rsid w:val="00300F4A"/>
    <w:rsid w:val="0030115F"/>
    <w:rsid w:val="003026DF"/>
    <w:rsid w:val="00304AAC"/>
    <w:rsid w:val="00307D61"/>
    <w:rsid w:val="0031104E"/>
    <w:rsid w:val="003157ED"/>
    <w:rsid w:val="003164DE"/>
    <w:rsid w:val="00316880"/>
    <w:rsid w:val="003169A0"/>
    <w:rsid w:val="003173B9"/>
    <w:rsid w:val="00317C2E"/>
    <w:rsid w:val="00317D60"/>
    <w:rsid w:val="003235D9"/>
    <w:rsid w:val="003237E5"/>
    <w:rsid w:val="0032619B"/>
    <w:rsid w:val="00330BCD"/>
    <w:rsid w:val="00331C6F"/>
    <w:rsid w:val="003326E1"/>
    <w:rsid w:val="00333515"/>
    <w:rsid w:val="00333EF0"/>
    <w:rsid w:val="0033409C"/>
    <w:rsid w:val="003353FA"/>
    <w:rsid w:val="003375D3"/>
    <w:rsid w:val="00340010"/>
    <w:rsid w:val="00342EBB"/>
    <w:rsid w:val="00344A17"/>
    <w:rsid w:val="0034541E"/>
    <w:rsid w:val="00345F0B"/>
    <w:rsid w:val="00347745"/>
    <w:rsid w:val="003504C0"/>
    <w:rsid w:val="003531A1"/>
    <w:rsid w:val="00355230"/>
    <w:rsid w:val="00356345"/>
    <w:rsid w:val="0035773D"/>
    <w:rsid w:val="003578E0"/>
    <w:rsid w:val="00360E6B"/>
    <w:rsid w:val="00361F22"/>
    <w:rsid w:val="003626BF"/>
    <w:rsid w:val="003672D3"/>
    <w:rsid w:val="003701AF"/>
    <w:rsid w:val="003702C3"/>
    <w:rsid w:val="00370E90"/>
    <w:rsid w:val="0037245D"/>
    <w:rsid w:val="00376056"/>
    <w:rsid w:val="0037664D"/>
    <w:rsid w:val="00376AA7"/>
    <w:rsid w:val="00376AF0"/>
    <w:rsid w:val="00376B45"/>
    <w:rsid w:val="003802ED"/>
    <w:rsid w:val="00380463"/>
    <w:rsid w:val="00382AF6"/>
    <w:rsid w:val="00382D70"/>
    <w:rsid w:val="003839F9"/>
    <w:rsid w:val="00384497"/>
    <w:rsid w:val="00386361"/>
    <w:rsid w:val="0038759C"/>
    <w:rsid w:val="003912B8"/>
    <w:rsid w:val="00392939"/>
    <w:rsid w:val="0039492B"/>
    <w:rsid w:val="003949E2"/>
    <w:rsid w:val="0039606C"/>
    <w:rsid w:val="00396C85"/>
    <w:rsid w:val="0039753C"/>
    <w:rsid w:val="003A4C78"/>
    <w:rsid w:val="003A5036"/>
    <w:rsid w:val="003B0035"/>
    <w:rsid w:val="003B0CD8"/>
    <w:rsid w:val="003B2152"/>
    <w:rsid w:val="003B41D1"/>
    <w:rsid w:val="003B793E"/>
    <w:rsid w:val="003B7ADC"/>
    <w:rsid w:val="003C0F3F"/>
    <w:rsid w:val="003C49E7"/>
    <w:rsid w:val="003C5087"/>
    <w:rsid w:val="003C541A"/>
    <w:rsid w:val="003D3A92"/>
    <w:rsid w:val="003D4F65"/>
    <w:rsid w:val="003D5493"/>
    <w:rsid w:val="003D698B"/>
    <w:rsid w:val="003D7036"/>
    <w:rsid w:val="003E03F2"/>
    <w:rsid w:val="003E0612"/>
    <w:rsid w:val="003E12CA"/>
    <w:rsid w:val="003E2FCB"/>
    <w:rsid w:val="003E3F03"/>
    <w:rsid w:val="003E5456"/>
    <w:rsid w:val="003F0174"/>
    <w:rsid w:val="003F01CD"/>
    <w:rsid w:val="003F243D"/>
    <w:rsid w:val="003F63BC"/>
    <w:rsid w:val="003F7BFD"/>
    <w:rsid w:val="00404418"/>
    <w:rsid w:val="0040503A"/>
    <w:rsid w:val="00405E2E"/>
    <w:rsid w:val="004064BC"/>
    <w:rsid w:val="00407E6A"/>
    <w:rsid w:val="00414EE8"/>
    <w:rsid w:val="0041561A"/>
    <w:rsid w:val="0041741B"/>
    <w:rsid w:val="004211F7"/>
    <w:rsid w:val="004248AD"/>
    <w:rsid w:val="00426AB5"/>
    <w:rsid w:val="00427E09"/>
    <w:rsid w:val="00432D04"/>
    <w:rsid w:val="00440371"/>
    <w:rsid w:val="00440F0D"/>
    <w:rsid w:val="00443F3D"/>
    <w:rsid w:val="0044423D"/>
    <w:rsid w:val="004447C6"/>
    <w:rsid w:val="00445734"/>
    <w:rsid w:val="0045387A"/>
    <w:rsid w:val="004543FB"/>
    <w:rsid w:val="00455C05"/>
    <w:rsid w:val="00457A56"/>
    <w:rsid w:val="00461278"/>
    <w:rsid w:val="00461E2E"/>
    <w:rsid w:val="00462426"/>
    <w:rsid w:val="00464BFF"/>
    <w:rsid w:val="0046516D"/>
    <w:rsid w:val="00465385"/>
    <w:rsid w:val="004655E1"/>
    <w:rsid w:val="0046561D"/>
    <w:rsid w:val="004659D4"/>
    <w:rsid w:val="00467149"/>
    <w:rsid w:val="00467DED"/>
    <w:rsid w:val="0047128C"/>
    <w:rsid w:val="00472655"/>
    <w:rsid w:val="00474726"/>
    <w:rsid w:val="004753E4"/>
    <w:rsid w:val="00475E08"/>
    <w:rsid w:val="004764FF"/>
    <w:rsid w:val="00476BCB"/>
    <w:rsid w:val="00476CBA"/>
    <w:rsid w:val="00477FDF"/>
    <w:rsid w:val="004810D9"/>
    <w:rsid w:val="00481572"/>
    <w:rsid w:val="004824F7"/>
    <w:rsid w:val="004831AD"/>
    <w:rsid w:val="00484059"/>
    <w:rsid w:val="0048728A"/>
    <w:rsid w:val="00490BE1"/>
    <w:rsid w:val="00490F42"/>
    <w:rsid w:val="0049136C"/>
    <w:rsid w:val="00492471"/>
    <w:rsid w:val="00494290"/>
    <w:rsid w:val="00494FED"/>
    <w:rsid w:val="00495B86"/>
    <w:rsid w:val="004A4C08"/>
    <w:rsid w:val="004A521B"/>
    <w:rsid w:val="004B2EBD"/>
    <w:rsid w:val="004B4463"/>
    <w:rsid w:val="004B4C16"/>
    <w:rsid w:val="004B6E2C"/>
    <w:rsid w:val="004B722F"/>
    <w:rsid w:val="004C503A"/>
    <w:rsid w:val="004C676F"/>
    <w:rsid w:val="004C71DF"/>
    <w:rsid w:val="004C7825"/>
    <w:rsid w:val="004D105C"/>
    <w:rsid w:val="004D4049"/>
    <w:rsid w:val="004D4F42"/>
    <w:rsid w:val="004D73A2"/>
    <w:rsid w:val="004E060E"/>
    <w:rsid w:val="004E2720"/>
    <w:rsid w:val="004E2FE6"/>
    <w:rsid w:val="004E3D35"/>
    <w:rsid w:val="004E3F57"/>
    <w:rsid w:val="004E4953"/>
    <w:rsid w:val="004E4F58"/>
    <w:rsid w:val="004E563D"/>
    <w:rsid w:val="004F37AA"/>
    <w:rsid w:val="004F4323"/>
    <w:rsid w:val="004F7DC3"/>
    <w:rsid w:val="00502196"/>
    <w:rsid w:val="005021E8"/>
    <w:rsid w:val="00502FF1"/>
    <w:rsid w:val="00504CC8"/>
    <w:rsid w:val="00505593"/>
    <w:rsid w:val="0051187C"/>
    <w:rsid w:val="00511FD1"/>
    <w:rsid w:val="00514D49"/>
    <w:rsid w:val="00515246"/>
    <w:rsid w:val="00520A75"/>
    <w:rsid w:val="0052107B"/>
    <w:rsid w:val="0052147F"/>
    <w:rsid w:val="00521AAD"/>
    <w:rsid w:val="00522B87"/>
    <w:rsid w:val="00522DF9"/>
    <w:rsid w:val="00523B21"/>
    <w:rsid w:val="00530871"/>
    <w:rsid w:val="005326A9"/>
    <w:rsid w:val="00533218"/>
    <w:rsid w:val="0053356E"/>
    <w:rsid w:val="0053472F"/>
    <w:rsid w:val="005366C5"/>
    <w:rsid w:val="00536709"/>
    <w:rsid w:val="00537F7A"/>
    <w:rsid w:val="00543518"/>
    <w:rsid w:val="00544503"/>
    <w:rsid w:val="00544B8C"/>
    <w:rsid w:val="005465CB"/>
    <w:rsid w:val="00552D85"/>
    <w:rsid w:val="005533A5"/>
    <w:rsid w:val="00553A17"/>
    <w:rsid w:val="005548A6"/>
    <w:rsid w:val="00556E6E"/>
    <w:rsid w:val="00561376"/>
    <w:rsid w:val="00561967"/>
    <w:rsid w:val="00564605"/>
    <w:rsid w:val="005652A2"/>
    <w:rsid w:val="00567420"/>
    <w:rsid w:val="0056774D"/>
    <w:rsid w:val="00571910"/>
    <w:rsid w:val="0057363D"/>
    <w:rsid w:val="00575519"/>
    <w:rsid w:val="00580AE0"/>
    <w:rsid w:val="00585343"/>
    <w:rsid w:val="0059011B"/>
    <w:rsid w:val="005901FD"/>
    <w:rsid w:val="00590FC1"/>
    <w:rsid w:val="0059182C"/>
    <w:rsid w:val="00592BEB"/>
    <w:rsid w:val="005938E9"/>
    <w:rsid w:val="005961C7"/>
    <w:rsid w:val="00597674"/>
    <w:rsid w:val="005A00F3"/>
    <w:rsid w:val="005A2CD0"/>
    <w:rsid w:val="005A2DB7"/>
    <w:rsid w:val="005A32FD"/>
    <w:rsid w:val="005A4A69"/>
    <w:rsid w:val="005A4C28"/>
    <w:rsid w:val="005A4EA4"/>
    <w:rsid w:val="005B3769"/>
    <w:rsid w:val="005B575D"/>
    <w:rsid w:val="005C0D85"/>
    <w:rsid w:val="005C2530"/>
    <w:rsid w:val="005C497B"/>
    <w:rsid w:val="005D0881"/>
    <w:rsid w:val="005D0E88"/>
    <w:rsid w:val="005D27ED"/>
    <w:rsid w:val="005D457C"/>
    <w:rsid w:val="005D600E"/>
    <w:rsid w:val="005D66A8"/>
    <w:rsid w:val="005D7873"/>
    <w:rsid w:val="005E0514"/>
    <w:rsid w:val="005E0892"/>
    <w:rsid w:val="005E0C66"/>
    <w:rsid w:val="005E707C"/>
    <w:rsid w:val="005E7629"/>
    <w:rsid w:val="005E7B05"/>
    <w:rsid w:val="005F0202"/>
    <w:rsid w:val="005F0E7E"/>
    <w:rsid w:val="005F563A"/>
    <w:rsid w:val="005F56DD"/>
    <w:rsid w:val="005F585D"/>
    <w:rsid w:val="005F7571"/>
    <w:rsid w:val="005F7A12"/>
    <w:rsid w:val="00602C67"/>
    <w:rsid w:val="00605F6B"/>
    <w:rsid w:val="00607A09"/>
    <w:rsid w:val="00611147"/>
    <w:rsid w:val="00611AEB"/>
    <w:rsid w:val="00611BC3"/>
    <w:rsid w:val="00614AB6"/>
    <w:rsid w:val="00615A34"/>
    <w:rsid w:val="0061615C"/>
    <w:rsid w:val="00616FC3"/>
    <w:rsid w:val="00617308"/>
    <w:rsid w:val="00617743"/>
    <w:rsid w:val="0061781D"/>
    <w:rsid w:val="0061796F"/>
    <w:rsid w:val="00620295"/>
    <w:rsid w:val="0062034F"/>
    <w:rsid w:val="006210E9"/>
    <w:rsid w:val="00621AF7"/>
    <w:rsid w:val="00622F07"/>
    <w:rsid w:val="00623C30"/>
    <w:rsid w:val="00624E33"/>
    <w:rsid w:val="00627558"/>
    <w:rsid w:val="00634054"/>
    <w:rsid w:val="00637237"/>
    <w:rsid w:val="006377DE"/>
    <w:rsid w:val="00637F49"/>
    <w:rsid w:val="006400E6"/>
    <w:rsid w:val="006405CC"/>
    <w:rsid w:val="006409B3"/>
    <w:rsid w:val="00641460"/>
    <w:rsid w:val="00642923"/>
    <w:rsid w:val="00644BFA"/>
    <w:rsid w:val="00644F69"/>
    <w:rsid w:val="00646175"/>
    <w:rsid w:val="00646297"/>
    <w:rsid w:val="00650285"/>
    <w:rsid w:val="00654104"/>
    <w:rsid w:val="00654124"/>
    <w:rsid w:val="00656DC6"/>
    <w:rsid w:val="00657FF5"/>
    <w:rsid w:val="00660340"/>
    <w:rsid w:val="006605DA"/>
    <w:rsid w:val="00661763"/>
    <w:rsid w:val="00665A60"/>
    <w:rsid w:val="00666ADB"/>
    <w:rsid w:val="00666CDE"/>
    <w:rsid w:val="00672143"/>
    <w:rsid w:val="006721C4"/>
    <w:rsid w:val="00672338"/>
    <w:rsid w:val="00672841"/>
    <w:rsid w:val="00673EB9"/>
    <w:rsid w:val="00677F6B"/>
    <w:rsid w:val="00681978"/>
    <w:rsid w:val="00686502"/>
    <w:rsid w:val="006868C2"/>
    <w:rsid w:val="00690940"/>
    <w:rsid w:val="00695AB3"/>
    <w:rsid w:val="006961B1"/>
    <w:rsid w:val="0069694B"/>
    <w:rsid w:val="006A13B0"/>
    <w:rsid w:val="006A1B52"/>
    <w:rsid w:val="006A21C9"/>
    <w:rsid w:val="006A71E2"/>
    <w:rsid w:val="006B0A0B"/>
    <w:rsid w:val="006B29C1"/>
    <w:rsid w:val="006B7218"/>
    <w:rsid w:val="006C036F"/>
    <w:rsid w:val="006C051A"/>
    <w:rsid w:val="006C13A2"/>
    <w:rsid w:val="006C23B1"/>
    <w:rsid w:val="006C28C6"/>
    <w:rsid w:val="006C3500"/>
    <w:rsid w:val="006C3B5F"/>
    <w:rsid w:val="006D0A40"/>
    <w:rsid w:val="006D1617"/>
    <w:rsid w:val="006D4D99"/>
    <w:rsid w:val="006D729B"/>
    <w:rsid w:val="006E4651"/>
    <w:rsid w:val="006E6651"/>
    <w:rsid w:val="006E6F59"/>
    <w:rsid w:val="006E7014"/>
    <w:rsid w:val="006F235C"/>
    <w:rsid w:val="006F49D3"/>
    <w:rsid w:val="006F501C"/>
    <w:rsid w:val="006F784D"/>
    <w:rsid w:val="00703D49"/>
    <w:rsid w:val="0070527D"/>
    <w:rsid w:val="0070699C"/>
    <w:rsid w:val="00706ABC"/>
    <w:rsid w:val="00710C8C"/>
    <w:rsid w:val="0071201D"/>
    <w:rsid w:val="007122A3"/>
    <w:rsid w:val="00716E1C"/>
    <w:rsid w:val="007230B5"/>
    <w:rsid w:val="00726BF9"/>
    <w:rsid w:val="00726CAD"/>
    <w:rsid w:val="0072780D"/>
    <w:rsid w:val="007339F1"/>
    <w:rsid w:val="00734DA9"/>
    <w:rsid w:val="00740DF0"/>
    <w:rsid w:val="00742074"/>
    <w:rsid w:val="00744C0E"/>
    <w:rsid w:val="00745957"/>
    <w:rsid w:val="00747C08"/>
    <w:rsid w:val="00747F25"/>
    <w:rsid w:val="00750FAF"/>
    <w:rsid w:val="00755669"/>
    <w:rsid w:val="0075597C"/>
    <w:rsid w:val="00756084"/>
    <w:rsid w:val="0075668A"/>
    <w:rsid w:val="0075678B"/>
    <w:rsid w:val="00765C3F"/>
    <w:rsid w:val="007664BA"/>
    <w:rsid w:val="007664E9"/>
    <w:rsid w:val="007668EA"/>
    <w:rsid w:val="00770EFE"/>
    <w:rsid w:val="00773453"/>
    <w:rsid w:val="0077472B"/>
    <w:rsid w:val="00775836"/>
    <w:rsid w:val="00777C41"/>
    <w:rsid w:val="007803F9"/>
    <w:rsid w:val="007819A1"/>
    <w:rsid w:val="0078483C"/>
    <w:rsid w:val="00784F91"/>
    <w:rsid w:val="00790089"/>
    <w:rsid w:val="007941E5"/>
    <w:rsid w:val="00795227"/>
    <w:rsid w:val="00796C19"/>
    <w:rsid w:val="007A19DC"/>
    <w:rsid w:val="007A1CD0"/>
    <w:rsid w:val="007A2875"/>
    <w:rsid w:val="007A28AB"/>
    <w:rsid w:val="007A2D7B"/>
    <w:rsid w:val="007A3A3D"/>
    <w:rsid w:val="007A3AF2"/>
    <w:rsid w:val="007A3D57"/>
    <w:rsid w:val="007A4634"/>
    <w:rsid w:val="007A4666"/>
    <w:rsid w:val="007A6D86"/>
    <w:rsid w:val="007A79BE"/>
    <w:rsid w:val="007A7CDA"/>
    <w:rsid w:val="007A7F88"/>
    <w:rsid w:val="007B02B1"/>
    <w:rsid w:val="007B07BC"/>
    <w:rsid w:val="007B08B1"/>
    <w:rsid w:val="007B1D0E"/>
    <w:rsid w:val="007B2B40"/>
    <w:rsid w:val="007B2EA6"/>
    <w:rsid w:val="007B37E9"/>
    <w:rsid w:val="007B4072"/>
    <w:rsid w:val="007B4B86"/>
    <w:rsid w:val="007B57DB"/>
    <w:rsid w:val="007C062A"/>
    <w:rsid w:val="007C49B5"/>
    <w:rsid w:val="007C7469"/>
    <w:rsid w:val="007C79ED"/>
    <w:rsid w:val="007D0A1B"/>
    <w:rsid w:val="007D312D"/>
    <w:rsid w:val="007D3160"/>
    <w:rsid w:val="007D4AF9"/>
    <w:rsid w:val="007D6E23"/>
    <w:rsid w:val="007E0035"/>
    <w:rsid w:val="007E321C"/>
    <w:rsid w:val="007E4805"/>
    <w:rsid w:val="007E5DB8"/>
    <w:rsid w:val="007E69CC"/>
    <w:rsid w:val="007F04DB"/>
    <w:rsid w:val="007F06D6"/>
    <w:rsid w:val="007F2351"/>
    <w:rsid w:val="007F4B8D"/>
    <w:rsid w:val="007F77FC"/>
    <w:rsid w:val="007F7BFA"/>
    <w:rsid w:val="0080124E"/>
    <w:rsid w:val="008109F4"/>
    <w:rsid w:val="008115D4"/>
    <w:rsid w:val="00811763"/>
    <w:rsid w:val="008151C9"/>
    <w:rsid w:val="008216F3"/>
    <w:rsid w:val="00824723"/>
    <w:rsid w:val="00830D76"/>
    <w:rsid w:val="0083213F"/>
    <w:rsid w:val="00832418"/>
    <w:rsid w:val="00834499"/>
    <w:rsid w:val="00836BFC"/>
    <w:rsid w:val="00836E11"/>
    <w:rsid w:val="00840207"/>
    <w:rsid w:val="00840348"/>
    <w:rsid w:val="00840440"/>
    <w:rsid w:val="00841779"/>
    <w:rsid w:val="008427DF"/>
    <w:rsid w:val="00843EC9"/>
    <w:rsid w:val="0084576F"/>
    <w:rsid w:val="00847107"/>
    <w:rsid w:val="0084731D"/>
    <w:rsid w:val="00847B7E"/>
    <w:rsid w:val="00853887"/>
    <w:rsid w:val="0085467D"/>
    <w:rsid w:val="00857089"/>
    <w:rsid w:val="00861CCA"/>
    <w:rsid w:val="00862D9A"/>
    <w:rsid w:val="008630B7"/>
    <w:rsid w:val="00867AA3"/>
    <w:rsid w:val="0087282A"/>
    <w:rsid w:val="00872E71"/>
    <w:rsid w:val="008753A5"/>
    <w:rsid w:val="0087747A"/>
    <w:rsid w:val="00877E32"/>
    <w:rsid w:val="008807EE"/>
    <w:rsid w:val="008825D2"/>
    <w:rsid w:val="008842E9"/>
    <w:rsid w:val="0088534A"/>
    <w:rsid w:val="0088562B"/>
    <w:rsid w:val="00886E3D"/>
    <w:rsid w:val="0089024E"/>
    <w:rsid w:val="00891AA3"/>
    <w:rsid w:val="00896CF2"/>
    <w:rsid w:val="00897057"/>
    <w:rsid w:val="00897A49"/>
    <w:rsid w:val="008A18C8"/>
    <w:rsid w:val="008A219D"/>
    <w:rsid w:val="008A59DC"/>
    <w:rsid w:val="008B3EE4"/>
    <w:rsid w:val="008B47F8"/>
    <w:rsid w:val="008B5721"/>
    <w:rsid w:val="008C00A0"/>
    <w:rsid w:val="008C0816"/>
    <w:rsid w:val="008C1FF0"/>
    <w:rsid w:val="008C2B49"/>
    <w:rsid w:val="008C2D4C"/>
    <w:rsid w:val="008C3AEE"/>
    <w:rsid w:val="008C59FA"/>
    <w:rsid w:val="008D57A6"/>
    <w:rsid w:val="008D6240"/>
    <w:rsid w:val="008E0CA4"/>
    <w:rsid w:val="008E2112"/>
    <w:rsid w:val="008E2C81"/>
    <w:rsid w:val="008F3D95"/>
    <w:rsid w:val="008F505E"/>
    <w:rsid w:val="008F5CBD"/>
    <w:rsid w:val="008F68D6"/>
    <w:rsid w:val="008F6A6B"/>
    <w:rsid w:val="008F739E"/>
    <w:rsid w:val="00901AEF"/>
    <w:rsid w:val="009028A0"/>
    <w:rsid w:val="00903F9B"/>
    <w:rsid w:val="00906B98"/>
    <w:rsid w:val="0091065B"/>
    <w:rsid w:val="0091071F"/>
    <w:rsid w:val="00912980"/>
    <w:rsid w:val="00915BA3"/>
    <w:rsid w:val="00916DB7"/>
    <w:rsid w:val="00920DC3"/>
    <w:rsid w:val="00922D78"/>
    <w:rsid w:val="00926866"/>
    <w:rsid w:val="009314B2"/>
    <w:rsid w:val="0093433E"/>
    <w:rsid w:val="00935D79"/>
    <w:rsid w:val="00937636"/>
    <w:rsid w:val="00940866"/>
    <w:rsid w:val="00941275"/>
    <w:rsid w:val="009420F5"/>
    <w:rsid w:val="009458A0"/>
    <w:rsid w:val="00947658"/>
    <w:rsid w:val="0095059A"/>
    <w:rsid w:val="009521D5"/>
    <w:rsid w:val="009525E2"/>
    <w:rsid w:val="00955365"/>
    <w:rsid w:val="009578BB"/>
    <w:rsid w:val="0096115E"/>
    <w:rsid w:val="00961DC3"/>
    <w:rsid w:val="00962A5D"/>
    <w:rsid w:val="00965023"/>
    <w:rsid w:val="00973329"/>
    <w:rsid w:val="009826CB"/>
    <w:rsid w:val="00984300"/>
    <w:rsid w:val="009872B1"/>
    <w:rsid w:val="00990D07"/>
    <w:rsid w:val="00992E70"/>
    <w:rsid w:val="00993ACF"/>
    <w:rsid w:val="00994DF1"/>
    <w:rsid w:val="00996EB4"/>
    <w:rsid w:val="00997C51"/>
    <w:rsid w:val="009A146D"/>
    <w:rsid w:val="009A2244"/>
    <w:rsid w:val="009A3C7B"/>
    <w:rsid w:val="009A4D0C"/>
    <w:rsid w:val="009A4DC0"/>
    <w:rsid w:val="009A5D91"/>
    <w:rsid w:val="009A5E27"/>
    <w:rsid w:val="009A7D5A"/>
    <w:rsid w:val="009B0397"/>
    <w:rsid w:val="009B2063"/>
    <w:rsid w:val="009B20EC"/>
    <w:rsid w:val="009B2FA0"/>
    <w:rsid w:val="009B50CC"/>
    <w:rsid w:val="009B6723"/>
    <w:rsid w:val="009B6BEE"/>
    <w:rsid w:val="009B6E5C"/>
    <w:rsid w:val="009B70EA"/>
    <w:rsid w:val="009B79DD"/>
    <w:rsid w:val="009C0839"/>
    <w:rsid w:val="009C2213"/>
    <w:rsid w:val="009C3025"/>
    <w:rsid w:val="009C4A0B"/>
    <w:rsid w:val="009C7584"/>
    <w:rsid w:val="009C7B91"/>
    <w:rsid w:val="009D0793"/>
    <w:rsid w:val="009D15D2"/>
    <w:rsid w:val="009D42C1"/>
    <w:rsid w:val="009D727D"/>
    <w:rsid w:val="009E5567"/>
    <w:rsid w:val="009E67EC"/>
    <w:rsid w:val="009E6824"/>
    <w:rsid w:val="009E761C"/>
    <w:rsid w:val="009F0110"/>
    <w:rsid w:val="009F09E6"/>
    <w:rsid w:val="009F2872"/>
    <w:rsid w:val="009F3C0B"/>
    <w:rsid w:val="009F4A9E"/>
    <w:rsid w:val="009F7A6D"/>
    <w:rsid w:val="00A01F98"/>
    <w:rsid w:val="00A04EEA"/>
    <w:rsid w:val="00A05026"/>
    <w:rsid w:val="00A06472"/>
    <w:rsid w:val="00A11A86"/>
    <w:rsid w:val="00A12491"/>
    <w:rsid w:val="00A13596"/>
    <w:rsid w:val="00A146B5"/>
    <w:rsid w:val="00A148A8"/>
    <w:rsid w:val="00A20820"/>
    <w:rsid w:val="00A2083D"/>
    <w:rsid w:val="00A21624"/>
    <w:rsid w:val="00A216B0"/>
    <w:rsid w:val="00A220D4"/>
    <w:rsid w:val="00A230E6"/>
    <w:rsid w:val="00A241D7"/>
    <w:rsid w:val="00A27A7C"/>
    <w:rsid w:val="00A319B4"/>
    <w:rsid w:val="00A34652"/>
    <w:rsid w:val="00A346D3"/>
    <w:rsid w:val="00A35686"/>
    <w:rsid w:val="00A35CC7"/>
    <w:rsid w:val="00A37A1C"/>
    <w:rsid w:val="00A419E9"/>
    <w:rsid w:val="00A4333F"/>
    <w:rsid w:val="00A46025"/>
    <w:rsid w:val="00A469DD"/>
    <w:rsid w:val="00A51770"/>
    <w:rsid w:val="00A53872"/>
    <w:rsid w:val="00A53E81"/>
    <w:rsid w:val="00A5591E"/>
    <w:rsid w:val="00A55B2E"/>
    <w:rsid w:val="00A55F22"/>
    <w:rsid w:val="00A56103"/>
    <w:rsid w:val="00A56D1B"/>
    <w:rsid w:val="00A575F0"/>
    <w:rsid w:val="00A57926"/>
    <w:rsid w:val="00A609D5"/>
    <w:rsid w:val="00A6191C"/>
    <w:rsid w:val="00A63EB5"/>
    <w:rsid w:val="00A6442F"/>
    <w:rsid w:val="00A6621A"/>
    <w:rsid w:val="00A67BA8"/>
    <w:rsid w:val="00A71DC5"/>
    <w:rsid w:val="00A7215F"/>
    <w:rsid w:val="00A7273F"/>
    <w:rsid w:val="00A72DBF"/>
    <w:rsid w:val="00A76578"/>
    <w:rsid w:val="00A766D1"/>
    <w:rsid w:val="00A766F2"/>
    <w:rsid w:val="00A81EE2"/>
    <w:rsid w:val="00A82CF3"/>
    <w:rsid w:val="00A830F1"/>
    <w:rsid w:val="00A8325A"/>
    <w:rsid w:val="00A87D5A"/>
    <w:rsid w:val="00A9424F"/>
    <w:rsid w:val="00A94F96"/>
    <w:rsid w:val="00AA1130"/>
    <w:rsid w:val="00AA167C"/>
    <w:rsid w:val="00AA1706"/>
    <w:rsid w:val="00AA1CFB"/>
    <w:rsid w:val="00AA27FC"/>
    <w:rsid w:val="00AA2B6D"/>
    <w:rsid w:val="00AA4B1C"/>
    <w:rsid w:val="00AA543B"/>
    <w:rsid w:val="00AA6D0D"/>
    <w:rsid w:val="00AB005E"/>
    <w:rsid w:val="00AB100E"/>
    <w:rsid w:val="00AB200A"/>
    <w:rsid w:val="00AB3314"/>
    <w:rsid w:val="00AB5E4D"/>
    <w:rsid w:val="00AB64D8"/>
    <w:rsid w:val="00AC2B67"/>
    <w:rsid w:val="00AC3B9F"/>
    <w:rsid w:val="00AC3D94"/>
    <w:rsid w:val="00AC4F67"/>
    <w:rsid w:val="00AC5E6F"/>
    <w:rsid w:val="00AD3A76"/>
    <w:rsid w:val="00AE33B4"/>
    <w:rsid w:val="00AE44C6"/>
    <w:rsid w:val="00AE6722"/>
    <w:rsid w:val="00AF103C"/>
    <w:rsid w:val="00AF1145"/>
    <w:rsid w:val="00AF47A7"/>
    <w:rsid w:val="00AF5626"/>
    <w:rsid w:val="00AF5802"/>
    <w:rsid w:val="00AF592C"/>
    <w:rsid w:val="00AF6630"/>
    <w:rsid w:val="00AF74E1"/>
    <w:rsid w:val="00B006C6"/>
    <w:rsid w:val="00B0114D"/>
    <w:rsid w:val="00B14367"/>
    <w:rsid w:val="00B17DA2"/>
    <w:rsid w:val="00B17DA7"/>
    <w:rsid w:val="00B206CF"/>
    <w:rsid w:val="00B20BD9"/>
    <w:rsid w:val="00B212BA"/>
    <w:rsid w:val="00B216FB"/>
    <w:rsid w:val="00B2368C"/>
    <w:rsid w:val="00B25C45"/>
    <w:rsid w:val="00B26277"/>
    <w:rsid w:val="00B31FFF"/>
    <w:rsid w:val="00B33EB3"/>
    <w:rsid w:val="00B377AA"/>
    <w:rsid w:val="00B419C6"/>
    <w:rsid w:val="00B4420B"/>
    <w:rsid w:val="00B4676A"/>
    <w:rsid w:val="00B46DC2"/>
    <w:rsid w:val="00B46F3F"/>
    <w:rsid w:val="00B51734"/>
    <w:rsid w:val="00B518AC"/>
    <w:rsid w:val="00B520FF"/>
    <w:rsid w:val="00B52663"/>
    <w:rsid w:val="00B53546"/>
    <w:rsid w:val="00B617EC"/>
    <w:rsid w:val="00B61C08"/>
    <w:rsid w:val="00B65DDE"/>
    <w:rsid w:val="00B664D7"/>
    <w:rsid w:val="00B6699E"/>
    <w:rsid w:val="00B66D11"/>
    <w:rsid w:val="00B71180"/>
    <w:rsid w:val="00B71D1B"/>
    <w:rsid w:val="00B72E28"/>
    <w:rsid w:val="00B73BF7"/>
    <w:rsid w:val="00B75A35"/>
    <w:rsid w:val="00B77B49"/>
    <w:rsid w:val="00B80C43"/>
    <w:rsid w:val="00B80F84"/>
    <w:rsid w:val="00B8224E"/>
    <w:rsid w:val="00B82A0A"/>
    <w:rsid w:val="00B82E25"/>
    <w:rsid w:val="00B86BA0"/>
    <w:rsid w:val="00B86CDF"/>
    <w:rsid w:val="00B87E52"/>
    <w:rsid w:val="00B90428"/>
    <w:rsid w:val="00B92E12"/>
    <w:rsid w:val="00B94EA9"/>
    <w:rsid w:val="00B96FD8"/>
    <w:rsid w:val="00B9713F"/>
    <w:rsid w:val="00B97402"/>
    <w:rsid w:val="00BA04E1"/>
    <w:rsid w:val="00BA0DE8"/>
    <w:rsid w:val="00BA2C79"/>
    <w:rsid w:val="00BA5497"/>
    <w:rsid w:val="00BA7D92"/>
    <w:rsid w:val="00BB1E8A"/>
    <w:rsid w:val="00BB2A36"/>
    <w:rsid w:val="00BB2F7F"/>
    <w:rsid w:val="00BB3E94"/>
    <w:rsid w:val="00BB46C8"/>
    <w:rsid w:val="00BB49E9"/>
    <w:rsid w:val="00BB5F6F"/>
    <w:rsid w:val="00BB64E3"/>
    <w:rsid w:val="00BB7E25"/>
    <w:rsid w:val="00BC0AEB"/>
    <w:rsid w:val="00BC1755"/>
    <w:rsid w:val="00BC2A47"/>
    <w:rsid w:val="00BC38D7"/>
    <w:rsid w:val="00BC536C"/>
    <w:rsid w:val="00BD0A88"/>
    <w:rsid w:val="00BE0FA1"/>
    <w:rsid w:val="00BE2197"/>
    <w:rsid w:val="00BE2D07"/>
    <w:rsid w:val="00BE35EE"/>
    <w:rsid w:val="00BE3F90"/>
    <w:rsid w:val="00BE5806"/>
    <w:rsid w:val="00BF0ADB"/>
    <w:rsid w:val="00BF74D3"/>
    <w:rsid w:val="00C037ED"/>
    <w:rsid w:val="00C042A2"/>
    <w:rsid w:val="00C043EA"/>
    <w:rsid w:val="00C044C4"/>
    <w:rsid w:val="00C05624"/>
    <w:rsid w:val="00C05AFA"/>
    <w:rsid w:val="00C06E6F"/>
    <w:rsid w:val="00C073AD"/>
    <w:rsid w:val="00C07AFE"/>
    <w:rsid w:val="00C1074B"/>
    <w:rsid w:val="00C10BED"/>
    <w:rsid w:val="00C11046"/>
    <w:rsid w:val="00C11223"/>
    <w:rsid w:val="00C1165D"/>
    <w:rsid w:val="00C12365"/>
    <w:rsid w:val="00C1265A"/>
    <w:rsid w:val="00C128F8"/>
    <w:rsid w:val="00C15970"/>
    <w:rsid w:val="00C15D78"/>
    <w:rsid w:val="00C15E67"/>
    <w:rsid w:val="00C178D1"/>
    <w:rsid w:val="00C249BE"/>
    <w:rsid w:val="00C25B9E"/>
    <w:rsid w:val="00C26121"/>
    <w:rsid w:val="00C27853"/>
    <w:rsid w:val="00C32623"/>
    <w:rsid w:val="00C32DFD"/>
    <w:rsid w:val="00C341C3"/>
    <w:rsid w:val="00C36965"/>
    <w:rsid w:val="00C37B97"/>
    <w:rsid w:val="00C41751"/>
    <w:rsid w:val="00C434C5"/>
    <w:rsid w:val="00C45DC2"/>
    <w:rsid w:val="00C46B6C"/>
    <w:rsid w:val="00C56E1B"/>
    <w:rsid w:val="00C6224C"/>
    <w:rsid w:val="00C65BC7"/>
    <w:rsid w:val="00C66BAD"/>
    <w:rsid w:val="00C672E2"/>
    <w:rsid w:val="00C70896"/>
    <w:rsid w:val="00C70A78"/>
    <w:rsid w:val="00C71660"/>
    <w:rsid w:val="00C72946"/>
    <w:rsid w:val="00C73608"/>
    <w:rsid w:val="00C75BCA"/>
    <w:rsid w:val="00C7781D"/>
    <w:rsid w:val="00C77E71"/>
    <w:rsid w:val="00C83D8B"/>
    <w:rsid w:val="00C84766"/>
    <w:rsid w:val="00C84D4B"/>
    <w:rsid w:val="00C8769D"/>
    <w:rsid w:val="00C876B4"/>
    <w:rsid w:val="00C91CAE"/>
    <w:rsid w:val="00C9238D"/>
    <w:rsid w:val="00C956E0"/>
    <w:rsid w:val="00C95F70"/>
    <w:rsid w:val="00C96A28"/>
    <w:rsid w:val="00C96B5F"/>
    <w:rsid w:val="00CA0BB5"/>
    <w:rsid w:val="00CA1DC8"/>
    <w:rsid w:val="00CA22F2"/>
    <w:rsid w:val="00CA245A"/>
    <w:rsid w:val="00CA32B5"/>
    <w:rsid w:val="00CA3350"/>
    <w:rsid w:val="00CA37AE"/>
    <w:rsid w:val="00CA4B9F"/>
    <w:rsid w:val="00CA51AE"/>
    <w:rsid w:val="00CA59F3"/>
    <w:rsid w:val="00CA7EAC"/>
    <w:rsid w:val="00CB1755"/>
    <w:rsid w:val="00CB1BFB"/>
    <w:rsid w:val="00CB2B04"/>
    <w:rsid w:val="00CB39C0"/>
    <w:rsid w:val="00CB541D"/>
    <w:rsid w:val="00CB54A9"/>
    <w:rsid w:val="00CB6664"/>
    <w:rsid w:val="00CB6D79"/>
    <w:rsid w:val="00CB79AC"/>
    <w:rsid w:val="00CC6057"/>
    <w:rsid w:val="00CD1227"/>
    <w:rsid w:val="00CD160F"/>
    <w:rsid w:val="00CD29DE"/>
    <w:rsid w:val="00CD68B4"/>
    <w:rsid w:val="00CD696E"/>
    <w:rsid w:val="00CD6B88"/>
    <w:rsid w:val="00CE1E68"/>
    <w:rsid w:val="00CE4C33"/>
    <w:rsid w:val="00CE5065"/>
    <w:rsid w:val="00CE7263"/>
    <w:rsid w:val="00CE74D1"/>
    <w:rsid w:val="00CF22FE"/>
    <w:rsid w:val="00CF4405"/>
    <w:rsid w:val="00CF632D"/>
    <w:rsid w:val="00CF6D18"/>
    <w:rsid w:val="00CF7060"/>
    <w:rsid w:val="00D024E7"/>
    <w:rsid w:val="00D07CBC"/>
    <w:rsid w:val="00D14200"/>
    <w:rsid w:val="00D145C9"/>
    <w:rsid w:val="00D14860"/>
    <w:rsid w:val="00D14F81"/>
    <w:rsid w:val="00D1591A"/>
    <w:rsid w:val="00D2313F"/>
    <w:rsid w:val="00D24EE2"/>
    <w:rsid w:val="00D25A7B"/>
    <w:rsid w:val="00D274A7"/>
    <w:rsid w:val="00D31B11"/>
    <w:rsid w:val="00D34C7F"/>
    <w:rsid w:val="00D34FE8"/>
    <w:rsid w:val="00D414B1"/>
    <w:rsid w:val="00D416F9"/>
    <w:rsid w:val="00D452A6"/>
    <w:rsid w:val="00D46420"/>
    <w:rsid w:val="00D51490"/>
    <w:rsid w:val="00D519F7"/>
    <w:rsid w:val="00D54261"/>
    <w:rsid w:val="00D54603"/>
    <w:rsid w:val="00D54A66"/>
    <w:rsid w:val="00D636CB"/>
    <w:rsid w:val="00D6381D"/>
    <w:rsid w:val="00D63D36"/>
    <w:rsid w:val="00D645DC"/>
    <w:rsid w:val="00D65234"/>
    <w:rsid w:val="00D67C5F"/>
    <w:rsid w:val="00D70031"/>
    <w:rsid w:val="00D70A74"/>
    <w:rsid w:val="00D71E43"/>
    <w:rsid w:val="00D7601C"/>
    <w:rsid w:val="00D76207"/>
    <w:rsid w:val="00D801AC"/>
    <w:rsid w:val="00D81569"/>
    <w:rsid w:val="00D816A4"/>
    <w:rsid w:val="00D81B0B"/>
    <w:rsid w:val="00D86C9B"/>
    <w:rsid w:val="00D87688"/>
    <w:rsid w:val="00D915E1"/>
    <w:rsid w:val="00D940B0"/>
    <w:rsid w:val="00DA23B6"/>
    <w:rsid w:val="00DA3A34"/>
    <w:rsid w:val="00DA5A12"/>
    <w:rsid w:val="00DA7CA2"/>
    <w:rsid w:val="00DB105E"/>
    <w:rsid w:val="00DB297C"/>
    <w:rsid w:val="00DB6E5B"/>
    <w:rsid w:val="00DC28D4"/>
    <w:rsid w:val="00DD175F"/>
    <w:rsid w:val="00DD6288"/>
    <w:rsid w:val="00DD6809"/>
    <w:rsid w:val="00DD72FD"/>
    <w:rsid w:val="00DE10EA"/>
    <w:rsid w:val="00DE1D1F"/>
    <w:rsid w:val="00DE517F"/>
    <w:rsid w:val="00DE635E"/>
    <w:rsid w:val="00DF0068"/>
    <w:rsid w:val="00DF235F"/>
    <w:rsid w:val="00E075BF"/>
    <w:rsid w:val="00E107A3"/>
    <w:rsid w:val="00E13078"/>
    <w:rsid w:val="00E13AD2"/>
    <w:rsid w:val="00E15118"/>
    <w:rsid w:val="00E15E79"/>
    <w:rsid w:val="00E15EE2"/>
    <w:rsid w:val="00E16876"/>
    <w:rsid w:val="00E1720F"/>
    <w:rsid w:val="00E17AFF"/>
    <w:rsid w:val="00E203CA"/>
    <w:rsid w:val="00E21052"/>
    <w:rsid w:val="00E247B8"/>
    <w:rsid w:val="00E24CDD"/>
    <w:rsid w:val="00E26758"/>
    <w:rsid w:val="00E27ED9"/>
    <w:rsid w:val="00E33C47"/>
    <w:rsid w:val="00E347F1"/>
    <w:rsid w:val="00E34CF4"/>
    <w:rsid w:val="00E354A4"/>
    <w:rsid w:val="00E35E67"/>
    <w:rsid w:val="00E40184"/>
    <w:rsid w:val="00E4235C"/>
    <w:rsid w:val="00E43FEF"/>
    <w:rsid w:val="00E476DA"/>
    <w:rsid w:val="00E51777"/>
    <w:rsid w:val="00E528F1"/>
    <w:rsid w:val="00E54F56"/>
    <w:rsid w:val="00E55D73"/>
    <w:rsid w:val="00E5606E"/>
    <w:rsid w:val="00E56AC1"/>
    <w:rsid w:val="00E57030"/>
    <w:rsid w:val="00E57C9D"/>
    <w:rsid w:val="00E62677"/>
    <w:rsid w:val="00E63F1F"/>
    <w:rsid w:val="00E650E4"/>
    <w:rsid w:val="00E6719F"/>
    <w:rsid w:val="00E67B63"/>
    <w:rsid w:val="00E71D20"/>
    <w:rsid w:val="00E72028"/>
    <w:rsid w:val="00E75AD6"/>
    <w:rsid w:val="00E76025"/>
    <w:rsid w:val="00E76378"/>
    <w:rsid w:val="00E76AC1"/>
    <w:rsid w:val="00E80162"/>
    <w:rsid w:val="00E803C1"/>
    <w:rsid w:val="00E80C7E"/>
    <w:rsid w:val="00E82DA6"/>
    <w:rsid w:val="00E847F7"/>
    <w:rsid w:val="00E84AC9"/>
    <w:rsid w:val="00E91EAC"/>
    <w:rsid w:val="00E92689"/>
    <w:rsid w:val="00E95FBA"/>
    <w:rsid w:val="00E967AF"/>
    <w:rsid w:val="00E96974"/>
    <w:rsid w:val="00E96F7A"/>
    <w:rsid w:val="00E97184"/>
    <w:rsid w:val="00EA237E"/>
    <w:rsid w:val="00EA739C"/>
    <w:rsid w:val="00EB0552"/>
    <w:rsid w:val="00EB185D"/>
    <w:rsid w:val="00EB2DBA"/>
    <w:rsid w:val="00EB308F"/>
    <w:rsid w:val="00EB3660"/>
    <w:rsid w:val="00EB36DE"/>
    <w:rsid w:val="00EB5380"/>
    <w:rsid w:val="00EB6E93"/>
    <w:rsid w:val="00EB7807"/>
    <w:rsid w:val="00EC01BC"/>
    <w:rsid w:val="00EC08B3"/>
    <w:rsid w:val="00EC1171"/>
    <w:rsid w:val="00EC12F3"/>
    <w:rsid w:val="00EC1F99"/>
    <w:rsid w:val="00EC4E9C"/>
    <w:rsid w:val="00ED14D7"/>
    <w:rsid w:val="00ED23D9"/>
    <w:rsid w:val="00ED2866"/>
    <w:rsid w:val="00ED5C09"/>
    <w:rsid w:val="00ED6003"/>
    <w:rsid w:val="00ED688F"/>
    <w:rsid w:val="00EE0B3D"/>
    <w:rsid w:val="00EE2DFB"/>
    <w:rsid w:val="00EE394F"/>
    <w:rsid w:val="00EE4557"/>
    <w:rsid w:val="00EE4BCE"/>
    <w:rsid w:val="00EE672B"/>
    <w:rsid w:val="00EE6C48"/>
    <w:rsid w:val="00EE7BBC"/>
    <w:rsid w:val="00EF0775"/>
    <w:rsid w:val="00EF175F"/>
    <w:rsid w:val="00EF2744"/>
    <w:rsid w:val="00EF27E3"/>
    <w:rsid w:val="00EF3DC0"/>
    <w:rsid w:val="00EF5291"/>
    <w:rsid w:val="00EF70EC"/>
    <w:rsid w:val="00F006C7"/>
    <w:rsid w:val="00F00F5C"/>
    <w:rsid w:val="00F040C3"/>
    <w:rsid w:val="00F05F93"/>
    <w:rsid w:val="00F0639B"/>
    <w:rsid w:val="00F066E3"/>
    <w:rsid w:val="00F06B06"/>
    <w:rsid w:val="00F07AA1"/>
    <w:rsid w:val="00F10593"/>
    <w:rsid w:val="00F1111A"/>
    <w:rsid w:val="00F1219A"/>
    <w:rsid w:val="00F1678D"/>
    <w:rsid w:val="00F175C9"/>
    <w:rsid w:val="00F2027A"/>
    <w:rsid w:val="00F264D1"/>
    <w:rsid w:val="00F27C40"/>
    <w:rsid w:val="00F3203F"/>
    <w:rsid w:val="00F32BD6"/>
    <w:rsid w:val="00F37007"/>
    <w:rsid w:val="00F3789D"/>
    <w:rsid w:val="00F4072C"/>
    <w:rsid w:val="00F419AF"/>
    <w:rsid w:val="00F428AA"/>
    <w:rsid w:val="00F446A7"/>
    <w:rsid w:val="00F45831"/>
    <w:rsid w:val="00F46594"/>
    <w:rsid w:val="00F50CF4"/>
    <w:rsid w:val="00F52EB1"/>
    <w:rsid w:val="00F546E9"/>
    <w:rsid w:val="00F54A6D"/>
    <w:rsid w:val="00F558D7"/>
    <w:rsid w:val="00F55C7C"/>
    <w:rsid w:val="00F5791B"/>
    <w:rsid w:val="00F57B57"/>
    <w:rsid w:val="00F618C6"/>
    <w:rsid w:val="00F62F3C"/>
    <w:rsid w:val="00F638D1"/>
    <w:rsid w:val="00F6468E"/>
    <w:rsid w:val="00F64E0E"/>
    <w:rsid w:val="00F701D2"/>
    <w:rsid w:val="00F72947"/>
    <w:rsid w:val="00F74453"/>
    <w:rsid w:val="00F7752D"/>
    <w:rsid w:val="00F77718"/>
    <w:rsid w:val="00F77D2F"/>
    <w:rsid w:val="00F80A74"/>
    <w:rsid w:val="00F82AE6"/>
    <w:rsid w:val="00F84305"/>
    <w:rsid w:val="00F8574D"/>
    <w:rsid w:val="00F85C0E"/>
    <w:rsid w:val="00F87601"/>
    <w:rsid w:val="00F87A77"/>
    <w:rsid w:val="00F900E5"/>
    <w:rsid w:val="00F92AA2"/>
    <w:rsid w:val="00F92D7B"/>
    <w:rsid w:val="00F93F84"/>
    <w:rsid w:val="00F96EBA"/>
    <w:rsid w:val="00FA0702"/>
    <w:rsid w:val="00FA0E3A"/>
    <w:rsid w:val="00FA24CE"/>
    <w:rsid w:val="00FA3D78"/>
    <w:rsid w:val="00FA4293"/>
    <w:rsid w:val="00FA5EEE"/>
    <w:rsid w:val="00FA79A0"/>
    <w:rsid w:val="00FA7E3A"/>
    <w:rsid w:val="00FB0B16"/>
    <w:rsid w:val="00FB0F55"/>
    <w:rsid w:val="00FB1D8F"/>
    <w:rsid w:val="00FB5EC4"/>
    <w:rsid w:val="00FC011F"/>
    <w:rsid w:val="00FC14A1"/>
    <w:rsid w:val="00FC625A"/>
    <w:rsid w:val="00FC6294"/>
    <w:rsid w:val="00FD1415"/>
    <w:rsid w:val="00FD574C"/>
    <w:rsid w:val="00FD7D56"/>
    <w:rsid w:val="00FD7DB5"/>
    <w:rsid w:val="00FE0E8F"/>
    <w:rsid w:val="00FE2C3C"/>
    <w:rsid w:val="00FE38A1"/>
    <w:rsid w:val="00FE3C17"/>
    <w:rsid w:val="00FE5C0C"/>
    <w:rsid w:val="00FF0B81"/>
    <w:rsid w:val="00FF0E89"/>
    <w:rsid w:val="00FF5B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8581"/>
  <w15:chartTrackingRefBased/>
  <w15:docId w15:val="{A02FA1DD-54CE-EE4F-8135-FC56F7B1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025"/>
    <w:pPr>
      <w:ind w:left="720"/>
      <w:contextualSpacing/>
    </w:pPr>
  </w:style>
  <w:style w:type="paragraph" w:styleId="FootnoteText">
    <w:name w:val="footnote text"/>
    <w:basedOn w:val="Normal"/>
    <w:link w:val="FootnoteTextChar"/>
    <w:uiPriority w:val="99"/>
    <w:unhideWhenUsed/>
    <w:rsid w:val="0087282A"/>
    <w:rPr>
      <w:sz w:val="20"/>
      <w:szCs w:val="20"/>
    </w:rPr>
  </w:style>
  <w:style w:type="character" w:customStyle="1" w:styleId="FootnoteTextChar">
    <w:name w:val="Footnote Text Char"/>
    <w:basedOn w:val="DefaultParagraphFont"/>
    <w:link w:val="FootnoteText"/>
    <w:uiPriority w:val="99"/>
    <w:rsid w:val="0087282A"/>
    <w:rPr>
      <w:sz w:val="20"/>
      <w:szCs w:val="20"/>
    </w:rPr>
  </w:style>
  <w:style w:type="character" w:styleId="FootnoteReference">
    <w:name w:val="footnote reference"/>
    <w:basedOn w:val="DefaultParagraphFont"/>
    <w:uiPriority w:val="99"/>
    <w:unhideWhenUsed/>
    <w:rsid w:val="0087282A"/>
    <w:rPr>
      <w:vertAlign w:val="superscript"/>
    </w:rPr>
  </w:style>
  <w:style w:type="paragraph" w:customStyle="1" w:styleId="EndNoteBibliographyTitle">
    <w:name w:val="EndNote Bibliography Title"/>
    <w:basedOn w:val="Normal"/>
    <w:link w:val="EndNoteBibliographyTitleChar"/>
    <w:rsid w:val="0064629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646297"/>
    <w:rPr>
      <w:rFonts w:ascii="Calibri" w:hAnsi="Calibri" w:cs="Calibri"/>
      <w:lang w:val="en-US"/>
    </w:rPr>
  </w:style>
  <w:style w:type="paragraph" w:customStyle="1" w:styleId="EndNoteBibliography">
    <w:name w:val="EndNote Bibliography"/>
    <w:basedOn w:val="Normal"/>
    <w:link w:val="EndNoteBibliographyChar"/>
    <w:rsid w:val="00646297"/>
    <w:rPr>
      <w:rFonts w:ascii="Calibri" w:hAnsi="Calibri" w:cs="Calibri"/>
      <w:lang w:val="en-US"/>
    </w:rPr>
  </w:style>
  <w:style w:type="character" w:customStyle="1" w:styleId="EndNoteBibliographyChar">
    <w:name w:val="EndNote Bibliography Char"/>
    <w:basedOn w:val="DefaultParagraphFont"/>
    <w:link w:val="EndNoteBibliography"/>
    <w:rsid w:val="00646297"/>
    <w:rPr>
      <w:rFonts w:ascii="Calibri" w:hAnsi="Calibri" w:cs="Calibri"/>
      <w:lang w:val="en-US"/>
    </w:rPr>
  </w:style>
  <w:style w:type="paragraph" w:styleId="Header">
    <w:name w:val="header"/>
    <w:basedOn w:val="Normal"/>
    <w:link w:val="HeaderChar"/>
    <w:uiPriority w:val="99"/>
    <w:unhideWhenUsed/>
    <w:rsid w:val="001F5F09"/>
    <w:pPr>
      <w:tabs>
        <w:tab w:val="center" w:pos="4513"/>
        <w:tab w:val="right" w:pos="9026"/>
      </w:tabs>
    </w:pPr>
  </w:style>
  <w:style w:type="character" w:customStyle="1" w:styleId="HeaderChar">
    <w:name w:val="Header Char"/>
    <w:basedOn w:val="DefaultParagraphFont"/>
    <w:link w:val="Header"/>
    <w:uiPriority w:val="99"/>
    <w:rsid w:val="001F5F09"/>
  </w:style>
  <w:style w:type="paragraph" w:styleId="Footer">
    <w:name w:val="footer"/>
    <w:basedOn w:val="Normal"/>
    <w:link w:val="FooterChar"/>
    <w:uiPriority w:val="99"/>
    <w:unhideWhenUsed/>
    <w:rsid w:val="001F5F09"/>
    <w:pPr>
      <w:tabs>
        <w:tab w:val="center" w:pos="4513"/>
        <w:tab w:val="right" w:pos="9026"/>
      </w:tabs>
    </w:pPr>
  </w:style>
  <w:style w:type="character" w:customStyle="1" w:styleId="FooterChar">
    <w:name w:val="Footer Char"/>
    <w:basedOn w:val="DefaultParagraphFont"/>
    <w:link w:val="Footer"/>
    <w:uiPriority w:val="99"/>
    <w:rsid w:val="001F5F09"/>
  </w:style>
  <w:style w:type="character" w:styleId="PageNumber">
    <w:name w:val="page number"/>
    <w:basedOn w:val="DefaultParagraphFont"/>
    <w:uiPriority w:val="99"/>
    <w:semiHidden/>
    <w:unhideWhenUsed/>
    <w:rsid w:val="00D0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17</Pages>
  <Words>10840</Words>
  <Characters>54420</Characters>
  <Application>Microsoft Office Word</Application>
  <DocSecurity>0</DocSecurity>
  <Lines>938</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Ernest Penner</dc:creator>
  <cp:keywords/>
  <dc:description/>
  <cp:lastModifiedBy>James Ernest Penner</cp:lastModifiedBy>
  <cp:revision>619</cp:revision>
  <cp:lastPrinted>2021-06-29T09:51:00Z</cp:lastPrinted>
  <dcterms:created xsi:type="dcterms:W3CDTF">2021-05-21T05:12:00Z</dcterms:created>
  <dcterms:modified xsi:type="dcterms:W3CDTF">2021-06-30T02:27:00Z</dcterms:modified>
</cp:coreProperties>
</file>